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5EDA" w:rsidRPr="000C6608" w:rsidRDefault="00015EDA" w:rsidP="00015EDA">
      <w:pPr>
        <w:pBdr>
          <w:top w:val="single" w:sz="4" w:space="1" w:color="auto"/>
          <w:bottom w:val="single" w:sz="4" w:space="1" w:color="auto"/>
        </w:pBdr>
        <w:jc w:val="center"/>
        <w:rPr>
          <w:sz w:val="28"/>
        </w:rPr>
      </w:pPr>
      <w:r w:rsidRPr="000C6608">
        <w:rPr>
          <w:sz w:val="52"/>
        </w:rPr>
        <w:t>U</w:t>
      </w:r>
      <w:r w:rsidRPr="000C6608">
        <w:rPr>
          <w:sz w:val="48"/>
          <w:szCs w:val="48"/>
        </w:rPr>
        <w:t xml:space="preserve">NIVERSITY OF </w:t>
      </w:r>
      <w:r w:rsidRPr="000C6608">
        <w:rPr>
          <w:sz w:val="52"/>
        </w:rPr>
        <w:t>C</w:t>
      </w:r>
      <w:r w:rsidRPr="000C6608">
        <w:rPr>
          <w:sz w:val="48"/>
          <w:szCs w:val="48"/>
        </w:rPr>
        <w:t>ANTERBURY</w:t>
      </w:r>
    </w:p>
    <w:p w:rsidR="00015EDA" w:rsidRDefault="00015EDA" w:rsidP="00015EDA">
      <w:pPr>
        <w:jc w:val="center"/>
        <w:rPr>
          <w:sz w:val="28"/>
        </w:rPr>
      </w:pPr>
    </w:p>
    <w:p w:rsidR="00015EDA" w:rsidRPr="000C6608" w:rsidRDefault="00015EDA" w:rsidP="00015EDA">
      <w:pPr>
        <w:jc w:val="center"/>
        <w:rPr>
          <w:sz w:val="48"/>
        </w:rPr>
      </w:pPr>
      <w:r w:rsidRPr="000C6608">
        <w:rPr>
          <w:sz w:val="48"/>
        </w:rPr>
        <w:t>ENME418 Engineering Management</w:t>
      </w:r>
    </w:p>
    <w:p w:rsidR="00015EDA" w:rsidRDefault="00015EDA" w:rsidP="00015EDA">
      <w:pPr>
        <w:jc w:val="center"/>
        <w:rPr>
          <w:sz w:val="40"/>
        </w:rPr>
      </w:pPr>
    </w:p>
    <w:p w:rsidR="00015EDA" w:rsidRDefault="00015EDA" w:rsidP="00015EDA">
      <w:pPr>
        <w:jc w:val="center"/>
        <w:rPr>
          <w:sz w:val="40"/>
        </w:rPr>
      </w:pPr>
      <w:r w:rsidRPr="000C6608">
        <w:rPr>
          <w:sz w:val="40"/>
        </w:rPr>
        <w:t>Feasibility Study</w:t>
      </w:r>
    </w:p>
    <w:p w:rsidR="00015EDA" w:rsidRPr="000C6608" w:rsidRDefault="00015EDA" w:rsidP="00015EDA">
      <w:pPr>
        <w:jc w:val="center"/>
        <w:rPr>
          <w:sz w:val="40"/>
        </w:rPr>
      </w:pPr>
    </w:p>
    <w:p w:rsidR="00015EDA" w:rsidRPr="000C6608" w:rsidRDefault="00015EDA" w:rsidP="00015EDA">
      <w:pPr>
        <w:jc w:val="center"/>
        <w:rPr>
          <w:sz w:val="36"/>
        </w:rPr>
      </w:pPr>
      <w:r w:rsidRPr="000C6608">
        <w:rPr>
          <w:sz w:val="36"/>
        </w:rPr>
        <w:t>Dairy shed manure collection for methane and methanol production through on-farm bio-processing</w:t>
      </w:r>
    </w:p>
    <w:p w:rsidR="00015EDA" w:rsidRDefault="00015EDA" w:rsidP="00015EDA">
      <w:pPr>
        <w:jc w:val="center"/>
        <w:rPr>
          <w:sz w:val="28"/>
        </w:rPr>
      </w:pPr>
    </w:p>
    <w:p w:rsidR="00015EDA" w:rsidRDefault="00015EDA" w:rsidP="00015EDA">
      <w:pPr>
        <w:jc w:val="center"/>
        <w:rPr>
          <w:sz w:val="28"/>
        </w:rPr>
      </w:pPr>
      <w:r>
        <w:rPr>
          <w:sz w:val="28"/>
        </w:rPr>
        <w:t>A Methanex New Zealand Limited Company Venture</w:t>
      </w:r>
    </w:p>
    <w:p w:rsidR="00015EDA" w:rsidRDefault="00015EDA" w:rsidP="00015EDA">
      <w:pPr>
        <w:jc w:val="center"/>
        <w:rPr>
          <w:sz w:val="28"/>
        </w:rPr>
      </w:pPr>
    </w:p>
    <w:p w:rsidR="00015EDA" w:rsidRPr="000C6608" w:rsidRDefault="00015EDA" w:rsidP="00015EDA">
      <w:pPr>
        <w:jc w:val="center"/>
        <w:rPr>
          <w:sz w:val="32"/>
        </w:rPr>
      </w:pPr>
      <w:r w:rsidRPr="000C6608">
        <w:rPr>
          <w:sz w:val="32"/>
        </w:rPr>
        <w:t>Chris Matthews</w:t>
      </w:r>
    </w:p>
    <w:p w:rsidR="00015EDA" w:rsidRPr="000C6608" w:rsidRDefault="00015EDA" w:rsidP="00015EDA">
      <w:pPr>
        <w:jc w:val="center"/>
        <w:rPr>
          <w:sz w:val="32"/>
        </w:rPr>
      </w:pPr>
      <w:r w:rsidRPr="000C6608">
        <w:rPr>
          <w:sz w:val="32"/>
        </w:rPr>
        <w:t>68522879</w:t>
      </w:r>
    </w:p>
    <w:p w:rsidR="00015EDA" w:rsidRPr="000C6608" w:rsidRDefault="00015EDA" w:rsidP="00015EDA">
      <w:pPr>
        <w:jc w:val="center"/>
        <w:rPr>
          <w:sz w:val="32"/>
        </w:rPr>
      </w:pPr>
    </w:p>
    <w:p w:rsidR="00015EDA" w:rsidRPr="000C6608" w:rsidRDefault="00015EDA" w:rsidP="00015EDA">
      <w:pPr>
        <w:jc w:val="center"/>
        <w:rPr>
          <w:sz w:val="32"/>
        </w:rPr>
      </w:pPr>
    </w:p>
    <w:p w:rsidR="00015EDA" w:rsidRPr="000C6608" w:rsidRDefault="00015EDA" w:rsidP="00015EDA">
      <w:pPr>
        <w:jc w:val="center"/>
        <w:rPr>
          <w:sz w:val="32"/>
        </w:rPr>
      </w:pPr>
    </w:p>
    <w:p w:rsidR="00015EDA" w:rsidRPr="000C6608" w:rsidRDefault="00015EDA" w:rsidP="00015EDA">
      <w:pPr>
        <w:jc w:val="center"/>
        <w:rPr>
          <w:sz w:val="32"/>
        </w:rPr>
      </w:pPr>
      <w:r w:rsidRPr="000C6608">
        <w:rPr>
          <w:sz w:val="32"/>
        </w:rPr>
        <w:t>George Legget</w:t>
      </w:r>
    </w:p>
    <w:p w:rsidR="00015EDA" w:rsidRPr="000C6608" w:rsidRDefault="00015EDA" w:rsidP="00015EDA">
      <w:pPr>
        <w:jc w:val="center"/>
        <w:rPr>
          <w:sz w:val="32"/>
        </w:rPr>
      </w:pPr>
      <w:r w:rsidRPr="000C6608">
        <w:rPr>
          <w:sz w:val="32"/>
        </w:rPr>
        <w:t>14713978</w:t>
      </w:r>
    </w:p>
    <w:p w:rsidR="00015EDA" w:rsidRPr="000C6608" w:rsidRDefault="00015EDA" w:rsidP="00015EDA">
      <w:pPr>
        <w:jc w:val="center"/>
        <w:rPr>
          <w:sz w:val="32"/>
        </w:rPr>
      </w:pPr>
    </w:p>
    <w:p w:rsidR="00015EDA" w:rsidRPr="000C6608" w:rsidRDefault="00015EDA" w:rsidP="00015EDA">
      <w:pPr>
        <w:jc w:val="center"/>
        <w:rPr>
          <w:sz w:val="32"/>
        </w:rPr>
      </w:pPr>
      <w:r w:rsidRPr="000C6608">
        <w:rPr>
          <w:sz w:val="32"/>
        </w:rPr>
        <w:t>06/10/2016</w:t>
      </w:r>
    </w:p>
    <w:p w:rsidR="00015EDA" w:rsidRDefault="00015EDA" w:rsidP="00015EDA">
      <w:pPr>
        <w:jc w:val="center"/>
      </w:pPr>
    </w:p>
    <w:p w:rsidR="00015EDA" w:rsidRDefault="00015EDA" w:rsidP="00015EDA">
      <w:pPr>
        <w:jc w:val="both"/>
      </w:pPr>
    </w:p>
    <w:p w:rsidR="00015EDA" w:rsidRDefault="00015EDA" w:rsidP="00015EDA">
      <w:pPr>
        <w:jc w:val="both"/>
      </w:pPr>
    </w:p>
    <w:p w:rsidR="00015EDA" w:rsidRDefault="00015EDA" w:rsidP="00015EDA">
      <w:pPr>
        <w:jc w:val="both"/>
      </w:pPr>
    </w:p>
    <w:p w:rsidR="00015EDA" w:rsidRPr="004602B7" w:rsidRDefault="00015EDA" w:rsidP="00015EDA">
      <w:pPr>
        <w:pStyle w:val="Heading1"/>
        <w:rPr>
          <w:rFonts w:ascii="Times New Roman" w:eastAsia="Times New Roman" w:hAnsi="Times New Roman"/>
          <w:sz w:val="24"/>
          <w:szCs w:val="24"/>
          <w:lang w:eastAsia="en-NZ"/>
        </w:rPr>
      </w:pPr>
      <w:bookmarkStart w:id="0" w:name="_Toc463540051"/>
      <w:r>
        <w:rPr>
          <w:rFonts w:eastAsia="Times New Roman"/>
          <w:lang w:eastAsia="en-NZ"/>
        </w:rPr>
        <w:lastRenderedPageBreak/>
        <w:t xml:space="preserve">1. </w:t>
      </w:r>
      <w:r w:rsidRPr="004602B7">
        <w:rPr>
          <w:rFonts w:eastAsia="Times New Roman"/>
          <w:lang w:eastAsia="en-NZ"/>
        </w:rPr>
        <w:t>Executive Summary</w:t>
      </w:r>
      <w:bookmarkEnd w:id="0"/>
    </w:p>
    <w:p w:rsidR="00015EDA" w:rsidRDefault="00015EDA" w:rsidP="00015EDA">
      <w:pPr>
        <w:jc w:val="both"/>
      </w:pPr>
      <w:r>
        <w:t>Methanex is proposing</w:t>
      </w:r>
      <w:r w:rsidR="00CA7513">
        <w:t xml:space="preserve"> to enter </w:t>
      </w:r>
      <w:r>
        <w:t xml:space="preserve">the </w:t>
      </w:r>
      <w:r w:rsidR="00CA7513">
        <w:t>m</w:t>
      </w:r>
      <w:r>
        <w:t xml:space="preserve">arket </w:t>
      </w:r>
      <w:r w:rsidR="00CA7513">
        <w:t>to produce</w:t>
      </w:r>
      <w:r>
        <w:t xml:space="preserve"> methanol from </w:t>
      </w:r>
      <w:r w:rsidR="00CA7513">
        <w:t>b</w:t>
      </w:r>
      <w:r>
        <w:t xml:space="preserve">iogas, more specifically </w:t>
      </w:r>
      <w:r w:rsidR="00CA7513">
        <w:t>b</w:t>
      </w:r>
      <w:r>
        <w:t xml:space="preserve">io gas retrieved from New Zealand dairy farms. The project proposed will make use of existing steam reforming technologies but will look to develop them to a state where they are more efficient and can be conducted on a smaller scale. This technology will then be applied to processing plants which will have methane supplied to it directly through pipes from around 10 farms. This eliminates the need for transportation of methane or the construction of a separate nationwide system across New Zealand connecting dairy farms to </w:t>
      </w:r>
      <w:r w:rsidR="00CA7513">
        <w:t xml:space="preserve">a </w:t>
      </w:r>
      <w:r>
        <w:t>large scale processing plant, which for a variety of legal, social, environmental, political and economic reasons would be hard to achieve. The report will focus on the feasibility of the project focusing on the establishment phase of the project right up to bringing the system to market and initial growth phases.</w:t>
      </w:r>
    </w:p>
    <w:p w:rsidR="00015EDA" w:rsidRDefault="00015EDA" w:rsidP="00015EDA">
      <w:pPr>
        <w:jc w:val="both"/>
      </w:pPr>
      <w:r>
        <w:t>The initial phase of the project before any systems other than the prototype are implemented is expected to last about 2 years and 9 months and cost $3,225,620.84. This phase of the project will be carried out by both full time employees and contacted staff. During this phase recruitme</w:t>
      </w:r>
      <w:r w:rsidR="00CA7513">
        <w:t>nt for additional personnel</w:t>
      </w:r>
      <w:r>
        <w:t xml:space="preserve"> is undertaken. </w:t>
      </w:r>
    </w:p>
    <w:p w:rsidR="00015EDA" w:rsidRDefault="00015EDA" w:rsidP="00015EDA">
      <w:pPr>
        <w:jc w:val="both"/>
      </w:pPr>
      <w:r>
        <w:t>It is expected that 60 plants will be established in the first 10 years after</w:t>
      </w:r>
      <w:r w:rsidR="00CA7513">
        <w:t xml:space="preserve"> the</w:t>
      </w:r>
      <w:r>
        <w:t xml:space="preserve"> project hits the market, after 21 years the project is predicted to make $8,333,947.43 profit after tax and a cumulative profit of $48,489,988.19. The whole project is projected to break even after 17 years. Optimistic projections project that the project will break even in 12 years and achieve a cumulative profit of $472,540,251.54 after 21 years, whilst pessimistic projections predict that the project will never make a cumulative profit. The NPV predictions were $73,095,635.36 for an optimistic projection, -$20,007,942.99 for an expected projection and -$35,288,118.04 for pessimistic market predictions.</w:t>
      </w:r>
    </w:p>
    <w:p w:rsidR="00015EDA" w:rsidRDefault="00015EDA" w:rsidP="00015EDA">
      <w:pPr>
        <w:jc w:val="both"/>
      </w:pPr>
      <w:r>
        <w:t>For that reason the project has been shown to be a high financial risk. Significant risks include product and market failure. Opportunities included high profits from good sales and positive public image due to the projects environmentally friendly nature.</w:t>
      </w:r>
    </w:p>
    <w:p w:rsidR="00015EDA" w:rsidRDefault="00015EDA" w:rsidP="00015EDA">
      <w:pPr>
        <w:jc w:val="both"/>
      </w:pPr>
      <w:r>
        <w:t xml:space="preserve">The financial benefit for the farmer was shown to be $5,275 per annum for the money saved in fertiliser, </w:t>
      </w:r>
      <w:r w:rsidR="00CA7513">
        <w:t>not including</w:t>
      </w:r>
      <w:r>
        <w:t xml:space="preserve"> tax rebates and increased value in product. The main financial benefit from implementing the systems would be selling the methanol produced from methane,</w:t>
      </w:r>
      <w:r w:rsidR="00CA7513">
        <w:t xml:space="preserve"> and</w:t>
      </w:r>
      <w:r>
        <w:t xml:space="preserve"> this would be the main selling point to investors. The main selling point to government and local population would be the environmental benefits this system would bring. Not only would it provide the world with a renewable material</w:t>
      </w:r>
      <w:r w:rsidR="00CA7513">
        <w:t>,</w:t>
      </w:r>
      <w:r>
        <w:t xml:space="preserve"> but it would reduce the amount of methane released into the atmosphere from New Zealand dairy farms.</w:t>
      </w:r>
    </w:p>
    <w:p w:rsidR="00015EDA" w:rsidRDefault="00015EDA" w:rsidP="00015EDA">
      <w:pPr>
        <w:jc w:val="both"/>
      </w:pPr>
      <w:r>
        <w:t>The project presents n</w:t>
      </w:r>
      <w:r w:rsidR="00CA7513">
        <w:t>o major environmental concerns. T</w:t>
      </w:r>
      <w:r>
        <w:t xml:space="preserve">here could be potential for noise and visual pollution concerns, </w:t>
      </w:r>
      <w:r w:rsidR="00CA7513">
        <w:t>however these are</w:t>
      </w:r>
      <w:r>
        <w:t xml:space="preserve"> considered to be low risk concerns.</w:t>
      </w:r>
    </w:p>
    <w:p w:rsidR="00015EDA" w:rsidRDefault="00015EDA" w:rsidP="00015EDA">
      <w:pPr>
        <w:jc w:val="both"/>
      </w:pPr>
      <w:r>
        <w:t>A non-discloser agreement should be signed by all staff and contractors to maintain the security of the project. Patents should be applied for any new technologies founded during the project to secure intellectual property rights for up to 20 years.</w:t>
      </w:r>
    </w:p>
    <w:p w:rsidR="00015EDA" w:rsidRDefault="00015EDA" w:rsidP="00015EDA">
      <w:r>
        <w:br w:type="page"/>
      </w:r>
    </w:p>
    <w:sdt>
      <w:sdtPr>
        <w:rPr>
          <w:rFonts w:asciiTheme="minorHAnsi" w:eastAsiaTheme="minorHAnsi" w:hAnsiTheme="minorHAnsi" w:cstheme="minorBidi"/>
          <w:color w:val="auto"/>
          <w:sz w:val="22"/>
          <w:szCs w:val="22"/>
          <w:lang w:val="en-NZ"/>
        </w:rPr>
        <w:id w:val="1017738283"/>
        <w:docPartObj>
          <w:docPartGallery w:val="Table of Contents"/>
          <w:docPartUnique/>
        </w:docPartObj>
      </w:sdtPr>
      <w:sdtEndPr>
        <w:rPr>
          <w:b/>
          <w:bCs/>
          <w:noProof/>
        </w:rPr>
      </w:sdtEndPr>
      <w:sdtContent>
        <w:p w:rsidR="00015EDA" w:rsidRDefault="00015EDA" w:rsidP="00015EDA">
          <w:pPr>
            <w:pStyle w:val="TOCHeading"/>
          </w:pPr>
          <w:r>
            <w:t>Contents</w:t>
          </w:r>
        </w:p>
        <w:p w:rsidR="00015EDA" w:rsidRPr="00346926" w:rsidRDefault="00015EDA" w:rsidP="00015EDA">
          <w:pPr>
            <w:pStyle w:val="TOC1"/>
            <w:tabs>
              <w:tab w:val="right" w:leader="dot" w:pos="9016"/>
            </w:tabs>
            <w:rPr>
              <w:rFonts w:eastAsiaTheme="minorEastAsia"/>
              <w:noProof/>
              <w:sz w:val="18"/>
              <w:lang w:eastAsia="en-NZ"/>
            </w:rPr>
          </w:pPr>
          <w:r>
            <w:fldChar w:fldCharType="begin"/>
          </w:r>
          <w:r>
            <w:instrText xml:space="preserve"> TOC \o "1-3" \h \z \u </w:instrText>
          </w:r>
          <w:r>
            <w:fldChar w:fldCharType="separate"/>
          </w:r>
          <w:hyperlink w:anchor="_Toc463540051" w:history="1">
            <w:r w:rsidRPr="00346926">
              <w:rPr>
                <w:rStyle w:val="Hyperlink"/>
                <w:rFonts w:eastAsia="Times New Roman"/>
                <w:noProof/>
                <w:sz w:val="18"/>
                <w:lang w:eastAsia="en-NZ"/>
              </w:rPr>
              <w:t>1. Executive Summary</w:t>
            </w:r>
            <w:r w:rsidRPr="00346926">
              <w:rPr>
                <w:noProof/>
                <w:webHidden/>
                <w:sz w:val="18"/>
              </w:rPr>
              <w:tab/>
            </w:r>
            <w:r w:rsidRPr="00346926">
              <w:rPr>
                <w:noProof/>
                <w:webHidden/>
                <w:sz w:val="18"/>
              </w:rPr>
              <w:fldChar w:fldCharType="begin"/>
            </w:r>
            <w:r w:rsidRPr="00346926">
              <w:rPr>
                <w:noProof/>
                <w:webHidden/>
                <w:sz w:val="18"/>
              </w:rPr>
              <w:instrText xml:space="preserve"> PAGEREF _Toc463540051 \h </w:instrText>
            </w:r>
            <w:r w:rsidRPr="00346926">
              <w:rPr>
                <w:noProof/>
                <w:webHidden/>
                <w:sz w:val="18"/>
              </w:rPr>
            </w:r>
            <w:r w:rsidRPr="00346926">
              <w:rPr>
                <w:noProof/>
                <w:webHidden/>
                <w:sz w:val="18"/>
              </w:rPr>
              <w:fldChar w:fldCharType="separate"/>
            </w:r>
            <w:r w:rsidRPr="00346926">
              <w:rPr>
                <w:noProof/>
                <w:webHidden/>
                <w:sz w:val="18"/>
              </w:rPr>
              <w:t>4</w:t>
            </w:r>
            <w:r w:rsidRPr="00346926">
              <w:rPr>
                <w:noProof/>
                <w:webHidden/>
                <w:sz w:val="18"/>
              </w:rPr>
              <w:fldChar w:fldCharType="end"/>
            </w:r>
          </w:hyperlink>
        </w:p>
        <w:p w:rsidR="00015EDA" w:rsidRPr="00346926" w:rsidRDefault="006566FB" w:rsidP="00015EDA">
          <w:pPr>
            <w:pStyle w:val="TOC1"/>
            <w:tabs>
              <w:tab w:val="right" w:leader="dot" w:pos="9016"/>
            </w:tabs>
            <w:rPr>
              <w:rFonts w:eastAsiaTheme="minorEastAsia"/>
              <w:noProof/>
              <w:sz w:val="18"/>
              <w:lang w:eastAsia="en-NZ"/>
            </w:rPr>
          </w:pPr>
          <w:hyperlink w:anchor="_Toc463540052" w:history="1">
            <w:r w:rsidR="00015EDA" w:rsidRPr="00346926">
              <w:rPr>
                <w:rStyle w:val="Hyperlink"/>
                <w:noProof/>
                <w:sz w:val="18"/>
              </w:rPr>
              <w:t>2. Introduction</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_Toc463540052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4</w:t>
            </w:r>
            <w:r w:rsidR="00015EDA" w:rsidRPr="00346926">
              <w:rPr>
                <w:noProof/>
                <w:webHidden/>
                <w:sz w:val="18"/>
              </w:rPr>
              <w:fldChar w:fldCharType="end"/>
            </w:r>
          </w:hyperlink>
        </w:p>
        <w:p w:rsidR="00015EDA" w:rsidRPr="00346926" w:rsidRDefault="006566FB" w:rsidP="00015EDA">
          <w:pPr>
            <w:pStyle w:val="TOC1"/>
            <w:tabs>
              <w:tab w:val="right" w:leader="dot" w:pos="9016"/>
            </w:tabs>
            <w:rPr>
              <w:rFonts w:eastAsiaTheme="minorEastAsia"/>
              <w:noProof/>
              <w:sz w:val="18"/>
              <w:lang w:eastAsia="en-NZ"/>
            </w:rPr>
          </w:pPr>
          <w:hyperlink w:anchor="_Toc463540053" w:history="1">
            <w:r w:rsidR="00015EDA" w:rsidRPr="00346926">
              <w:rPr>
                <w:rStyle w:val="Hyperlink"/>
                <w:rFonts w:eastAsia="Times New Roman"/>
                <w:noProof/>
                <w:sz w:val="18"/>
                <w:lang w:eastAsia="en-NZ"/>
              </w:rPr>
              <w:t>3. System Architecture</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_Toc463540053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5</w:t>
            </w:r>
            <w:r w:rsidR="00015EDA" w:rsidRPr="00346926">
              <w:rPr>
                <w:noProof/>
                <w:webHidden/>
                <w:sz w:val="18"/>
              </w:rPr>
              <w:fldChar w:fldCharType="end"/>
            </w:r>
          </w:hyperlink>
        </w:p>
        <w:p w:rsidR="00015EDA" w:rsidRPr="00346926" w:rsidRDefault="006566FB" w:rsidP="00015EDA">
          <w:pPr>
            <w:pStyle w:val="TOC2"/>
            <w:tabs>
              <w:tab w:val="right" w:leader="dot" w:pos="9016"/>
            </w:tabs>
            <w:rPr>
              <w:rFonts w:eastAsiaTheme="minorEastAsia"/>
              <w:noProof/>
              <w:sz w:val="18"/>
              <w:lang w:eastAsia="en-NZ"/>
            </w:rPr>
          </w:pPr>
          <w:hyperlink w:anchor="_Toc463540054" w:history="1">
            <w:r w:rsidR="00015EDA" w:rsidRPr="00346926">
              <w:rPr>
                <w:rStyle w:val="Hyperlink"/>
                <w:rFonts w:eastAsia="Times New Roman"/>
                <w:noProof/>
                <w:sz w:val="18"/>
                <w:lang w:eastAsia="en-NZ"/>
              </w:rPr>
              <w:t>3.1 The Concept</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_Toc463540054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5</w:t>
            </w:r>
            <w:r w:rsidR="00015EDA" w:rsidRPr="00346926">
              <w:rPr>
                <w:noProof/>
                <w:webHidden/>
                <w:sz w:val="18"/>
              </w:rPr>
              <w:fldChar w:fldCharType="end"/>
            </w:r>
          </w:hyperlink>
        </w:p>
        <w:p w:rsidR="00015EDA" w:rsidRPr="00346926" w:rsidRDefault="006566FB" w:rsidP="00015EDA">
          <w:pPr>
            <w:pStyle w:val="TOC2"/>
            <w:tabs>
              <w:tab w:val="right" w:leader="dot" w:pos="9016"/>
            </w:tabs>
            <w:rPr>
              <w:rFonts w:eastAsiaTheme="minorEastAsia"/>
              <w:noProof/>
              <w:sz w:val="18"/>
              <w:lang w:eastAsia="en-NZ"/>
            </w:rPr>
          </w:pPr>
          <w:hyperlink w:anchor="_Toc463540055" w:history="1">
            <w:r w:rsidR="00015EDA" w:rsidRPr="00346926">
              <w:rPr>
                <w:rStyle w:val="Hyperlink"/>
                <w:rFonts w:eastAsia="Times New Roman"/>
                <w:noProof/>
                <w:sz w:val="18"/>
                <w:lang w:eastAsia="en-NZ"/>
              </w:rPr>
              <w:t>3.2 The company</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_Toc463540055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6</w:t>
            </w:r>
            <w:r w:rsidR="00015EDA" w:rsidRPr="00346926">
              <w:rPr>
                <w:noProof/>
                <w:webHidden/>
                <w:sz w:val="18"/>
              </w:rPr>
              <w:fldChar w:fldCharType="end"/>
            </w:r>
          </w:hyperlink>
        </w:p>
        <w:p w:rsidR="00015EDA" w:rsidRPr="00346926" w:rsidRDefault="006566FB" w:rsidP="00015EDA">
          <w:pPr>
            <w:pStyle w:val="TOC1"/>
            <w:tabs>
              <w:tab w:val="right" w:leader="dot" w:pos="9016"/>
            </w:tabs>
            <w:rPr>
              <w:rFonts w:eastAsiaTheme="minorEastAsia"/>
              <w:noProof/>
              <w:sz w:val="18"/>
              <w:lang w:eastAsia="en-NZ"/>
            </w:rPr>
          </w:pPr>
          <w:hyperlink w:anchor="_Toc463540056" w:history="1">
            <w:r w:rsidR="00015EDA" w:rsidRPr="00346926">
              <w:rPr>
                <w:rStyle w:val="Hyperlink"/>
                <w:noProof/>
                <w:sz w:val="18"/>
              </w:rPr>
              <w:t>4. Risk Assessment</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_Toc463540056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7</w:t>
            </w:r>
            <w:r w:rsidR="00015EDA" w:rsidRPr="00346926">
              <w:rPr>
                <w:noProof/>
                <w:webHidden/>
                <w:sz w:val="18"/>
              </w:rPr>
              <w:fldChar w:fldCharType="end"/>
            </w:r>
          </w:hyperlink>
        </w:p>
        <w:p w:rsidR="00015EDA" w:rsidRPr="00346926" w:rsidRDefault="006566FB" w:rsidP="00015EDA">
          <w:pPr>
            <w:pStyle w:val="TOC2"/>
            <w:tabs>
              <w:tab w:val="right" w:leader="dot" w:pos="9016"/>
            </w:tabs>
            <w:rPr>
              <w:rFonts w:eastAsiaTheme="minorEastAsia"/>
              <w:noProof/>
              <w:sz w:val="18"/>
              <w:lang w:eastAsia="en-NZ"/>
            </w:rPr>
          </w:pPr>
          <w:hyperlink w:anchor="_Toc463540057" w:history="1">
            <w:r w:rsidR="00015EDA" w:rsidRPr="00346926">
              <w:rPr>
                <w:rStyle w:val="Hyperlink"/>
                <w:noProof/>
                <w:sz w:val="18"/>
              </w:rPr>
              <w:t>4.1 Introduction</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_Toc463540057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7</w:t>
            </w:r>
            <w:r w:rsidR="00015EDA" w:rsidRPr="00346926">
              <w:rPr>
                <w:noProof/>
                <w:webHidden/>
                <w:sz w:val="18"/>
              </w:rPr>
              <w:fldChar w:fldCharType="end"/>
            </w:r>
          </w:hyperlink>
        </w:p>
        <w:p w:rsidR="00015EDA" w:rsidRPr="00346926" w:rsidRDefault="006566FB" w:rsidP="00015EDA">
          <w:pPr>
            <w:pStyle w:val="TOC2"/>
            <w:tabs>
              <w:tab w:val="right" w:leader="dot" w:pos="9016"/>
            </w:tabs>
            <w:rPr>
              <w:rFonts w:eastAsiaTheme="minorEastAsia"/>
              <w:noProof/>
              <w:sz w:val="18"/>
              <w:lang w:eastAsia="en-NZ"/>
            </w:rPr>
          </w:pPr>
          <w:hyperlink w:anchor="_Toc463540058" w:history="1">
            <w:r w:rsidR="00015EDA" w:rsidRPr="00346926">
              <w:rPr>
                <w:rStyle w:val="Hyperlink"/>
                <w:noProof/>
                <w:sz w:val="18"/>
              </w:rPr>
              <w:t>4.2 Scope</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_Toc463540058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7</w:t>
            </w:r>
            <w:r w:rsidR="00015EDA" w:rsidRPr="00346926">
              <w:rPr>
                <w:noProof/>
                <w:webHidden/>
                <w:sz w:val="18"/>
              </w:rPr>
              <w:fldChar w:fldCharType="end"/>
            </w:r>
          </w:hyperlink>
        </w:p>
        <w:p w:rsidR="00015EDA" w:rsidRPr="00346926" w:rsidRDefault="006566FB" w:rsidP="00015EDA">
          <w:pPr>
            <w:pStyle w:val="TOC2"/>
            <w:tabs>
              <w:tab w:val="right" w:leader="dot" w:pos="9016"/>
            </w:tabs>
            <w:rPr>
              <w:rFonts w:eastAsiaTheme="minorEastAsia"/>
              <w:noProof/>
              <w:sz w:val="18"/>
              <w:lang w:eastAsia="en-NZ"/>
            </w:rPr>
          </w:pPr>
          <w:hyperlink w:anchor="_Toc463540059" w:history="1">
            <w:r w:rsidR="00015EDA" w:rsidRPr="00346926">
              <w:rPr>
                <w:rStyle w:val="Hyperlink"/>
                <w:noProof/>
                <w:sz w:val="18"/>
              </w:rPr>
              <w:t>4.3 Analysis</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_Toc463540059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7</w:t>
            </w:r>
            <w:r w:rsidR="00015EDA" w:rsidRPr="00346926">
              <w:rPr>
                <w:noProof/>
                <w:webHidden/>
                <w:sz w:val="18"/>
              </w:rPr>
              <w:fldChar w:fldCharType="end"/>
            </w:r>
          </w:hyperlink>
        </w:p>
        <w:p w:rsidR="00015EDA" w:rsidRPr="00346926" w:rsidRDefault="006566FB" w:rsidP="00015EDA">
          <w:pPr>
            <w:pStyle w:val="TOC2"/>
            <w:tabs>
              <w:tab w:val="right" w:leader="dot" w:pos="9016"/>
            </w:tabs>
            <w:rPr>
              <w:rFonts w:eastAsiaTheme="minorEastAsia"/>
              <w:noProof/>
              <w:sz w:val="18"/>
              <w:lang w:eastAsia="en-NZ"/>
            </w:rPr>
          </w:pPr>
          <w:hyperlink w:anchor="_Toc463540060" w:history="1">
            <w:r w:rsidR="00015EDA" w:rsidRPr="00346926">
              <w:rPr>
                <w:rStyle w:val="Hyperlink"/>
                <w:noProof/>
                <w:sz w:val="18"/>
              </w:rPr>
              <w:t>4.4 Risk table</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_Toc463540060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7</w:t>
            </w:r>
            <w:r w:rsidR="00015EDA" w:rsidRPr="00346926">
              <w:rPr>
                <w:noProof/>
                <w:webHidden/>
                <w:sz w:val="18"/>
              </w:rPr>
              <w:fldChar w:fldCharType="end"/>
            </w:r>
          </w:hyperlink>
        </w:p>
        <w:p w:rsidR="00015EDA" w:rsidRPr="00346926" w:rsidRDefault="006566FB" w:rsidP="00015EDA">
          <w:pPr>
            <w:pStyle w:val="TOC1"/>
            <w:tabs>
              <w:tab w:val="right" w:leader="dot" w:pos="9016"/>
            </w:tabs>
            <w:rPr>
              <w:rFonts w:eastAsiaTheme="minorEastAsia"/>
              <w:noProof/>
              <w:sz w:val="18"/>
              <w:lang w:eastAsia="en-NZ"/>
            </w:rPr>
          </w:pPr>
          <w:hyperlink w:anchor="_Toc463540061" w:history="1">
            <w:r w:rsidR="00015EDA" w:rsidRPr="00346926">
              <w:rPr>
                <w:rStyle w:val="Hyperlink"/>
                <w:noProof/>
                <w:sz w:val="18"/>
              </w:rPr>
              <w:t>5. Project plan</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_Toc463540061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8</w:t>
            </w:r>
            <w:r w:rsidR="00015EDA" w:rsidRPr="00346926">
              <w:rPr>
                <w:noProof/>
                <w:webHidden/>
                <w:sz w:val="18"/>
              </w:rPr>
              <w:fldChar w:fldCharType="end"/>
            </w:r>
          </w:hyperlink>
        </w:p>
        <w:p w:rsidR="00015EDA" w:rsidRPr="00346926" w:rsidRDefault="006566FB" w:rsidP="00015EDA">
          <w:pPr>
            <w:pStyle w:val="TOC2"/>
            <w:tabs>
              <w:tab w:val="right" w:leader="dot" w:pos="9016"/>
            </w:tabs>
            <w:rPr>
              <w:rFonts w:eastAsiaTheme="minorEastAsia"/>
              <w:noProof/>
              <w:sz w:val="18"/>
              <w:lang w:eastAsia="en-NZ"/>
            </w:rPr>
          </w:pPr>
          <w:hyperlink w:anchor="_Toc463540062" w:history="1">
            <w:r w:rsidR="00015EDA" w:rsidRPr="00346926">
              <w:rPr>
                <w:rStyle w:val="Hyperlink"/>
                <w:noProof/>
                <w:sz w:val="18"/>
              </w:rPr>
              <w:t>5.1 Introduction</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_Toc463540062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8</w:t>
            </w:r>
            <w:r w:rsidR="00015EDA" w:rsidRPr="00346926">
              <w:rPr>
                <w:noProof/>
                <w:webHidden/>
                <w:sz w:val="18"/>
              </w:rPr>
              <w:fldChar w:fldCharType="end"/>
            </w:r>
          </w:hyperlink>
        </w:p>
        <w:p w:rsidR="00015EDA" w:rsidRPr="00346926" w:rsidRDefault="006566FB" w:rsidP="00015EDA">
          <w:pPr>
            <w:pStyle w:val="TOC2"/>
            <w:tabs>
              <w:tab w:val="right" w:leader="dot" w:pos="9016"/>
            </w:tabs>
            <w:rPr>
              <w:rFonts w:eastAsiaTheme="minorEastAsia"/>
              <w:noProof/>
              <w:sz w:val="18"/>
              <w:lang w:eastAsia="en-NZ"/>
            </w:rPr>
          </w:pPr>
          <w:hyperlink w:anchor="_Toc463540063" w:history="1">
            <w:r w:rsidR="00015EDA" w:rsidRPr="00346926">
              <w:rPr>
                <w:rStyle w:val="Hyperlink"/>
                <w:noProof/>
                <w:sz w:val="18"/>
              </w:rPr>
              <w:t>5.2 Discussion of project plan</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_Toc463540063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8</w:t>
            </w:r>
            <w:r w:rsidR="00015EDA" w:rsidRPr="00346926">
              <w:rPr>
                <w:noProof/>
                <w:webHidden/>
                <w:sz w:val="18"/>
              </w:rPr>
              <w:fldChar w:fldCharType="end"/>
            </w:r>
          </w:hyperlink>
        </w:p>
        <w:p w:rsidR="00015EDA" w:rsidRPr="00346926" w:rsidRDefault="006566FB" w:rsidP="00015EDA">
          <w:pPr>
            <w:pStyle w:val="TOC1"/>
            <w:tabs>
              <w:tab w:val="right" w:leader="dot" w:pos="9016"/>
            </w:tabs>
            <w:rPr>
              <w:rFonts w:eastAsiaTheme="minorEastAsia"/>
              <w:noProof/>
              <w:sz w:val="18"/>
              <w:lang w:eastAsia="en-NZ"/>
            </w:rPr>
          </w:pPr>
          <w:hyperlink w:anchor="_Toc463540064" w:history="1">
            <w:r w:rsidR="00015EDA" w:rsidRPr="00346926">
              <w:rPr>
                <w:rStyle w:val="Hyperlink"/>
                <w:noProof/>
                <w:sz w:val="18"/>
              </w:rPr>
              <w:t>6. Financial Feasibility</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_Toc463540064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10</w:t>
            </w:r>
            <w:r w:rsidR="00015EDA" w:rsidRPr="00346926">
              <w:rPr>
                <w:noProof/>
                <w:webHidden/>
                <w:sz w:val="18"/>
              </w:rPr>
              <w:fldChar w:fldCharType="end"/>
            </w:r>
          </w:hyperlink>
        </w:p>
        <w:p w:rsidR="00015EDA" w:rsidRPr="00346926" w:rsidRDefault="006566FB" w:rsidP="00015EDA">
          <w:pPr>
            <w:pStyle w:val="TOC2"/>
            <w:tabs>
              <w:tab w:val="right" w:leader="dot" w:pos="9016"/>
            </w:tabs>
            <w:rPr>
              <w:rFonts w:eastAsiaTheme="minorEastAsia"/>
              <w:noProof/>
              <w:sz w:val="18"/>
              <w:lang w:eastAsia="en-NZ"/>
            </w:rPr>
          </w:pPr>
          <w:hyperlink w:anchor="_Toc463540065" w:history="1">
            <w:r w:rsidR="00015EDA" w:rsidRPr="00346926">
              <w:rPr>
                <w:rStyle w:val="Hyperlink"/>
                <w:noProof/>
                <w:sz w:val="18"/>
              </w:rPr>
              <w:t>6.1 Introduction</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_Toc463540065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10</w:t>
            </w:r>
            <w:r w:rsidR="00015EDA" w:rsidRPr="00346926">
              <w:rPr>
                <w:noProof/>
                <w:webHidden/>
                <w:sz w:val="18"/>
              </w:rPr>
              <w:fldChar w:fldCharType="end"/>
            </w:r>
          </w:hyperlink>
        </w:p>
        <w:p w:rsidR="00015EDA" w:rsidRPr="00346926" w:rsidRDefault="006566FB" w:rsidP="00015EDA">
          <w:pPr>
            <w:pStyle w:val="TOC2"/>
            <w:tabs>
              <w:tab w:val="right" w:leader="dot" w:pos="9016"/>
            </w:tabs>
            <w:rPr>
              <w:rFonts w:eastAsiaTheme="minorEastAsia"/>
              <w:noProof/>
              <w:sz w:val="18"/>
              <w:lang w:eastAsia="en-NZ"/>
            </w:rPr>
          </w:pPr>
          <w:hyperlink w:anchor="_Toc463540066" w:history="1">
            <w:r w:rsidR="00015EDA" w:rsidRPr="00346926">
              <w:rPr>
                <w:rStyle w:val="Hyperlink"/>
                <w:noProof/>
                <w:sz w:val="18"/>
              </w:rPr>
              <w:t>6.2 Methanol plant</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_Toc463540066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10</w:t>
            </w:r>
            <w:r w:rsidR="00015EDA" w:rsidRPr="00346926">
              <w:rPr>
                <w:noProof/>
                <w:webHidden/>
                <w:sz w:val="18"/>
              </w:rPr>
              <w:fldChar w:fldCharType="end"/>
            </w:r>
          </w:hyperlink>
        </w:p>
        <w:p w:rsidR="00015EDA" w:rsidRPr="00346926" w:rsidRDefault="006566FB" w:rsidP="00015EDA">
          <w:pPr>
            <w:pStyle w:val="TOC2"/>
            <w:tabs>
              <w:tab w:val="right" w:leader="dot" w:pos="9016"/>
            </w:tabs>
            <w:rPr>
              <w:rFonts w:eastAsiaTheme="minorEastAsia"/>
              <w:noProof/>
              <w:sz w:val="18"/>
              <w:lang w:eastAsia="en-NZ"/>
            </w:rPr>
          </w:pPr>
          <w:hyperlink w:anchor="_Toc463540067" w:history="1">
            <w:r w:rsidR="00015EDA" w:rsidRPr="00346926">
              <w:rPr>
                <w:rStyle w:val="Hyperlink"/>
                <w:noProof/>
                <w:sz w:val="18"/>
              </w:rPr>
              <w:t>6.3 Results Summary</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_Toc463540067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12</w:t>
            </w:r>
            <w:r w:rsidR="00015EDA" w:rsidRPr="00346926">
              <w:rPr>
                <w:noProof/>
                <w:webHidden/>
                <w:sz w:val="18"/>
              </w:rPr>
              <w:fldChar w:fldCharType="end"/>
            </w:r>
          </w:hyperlink>
        </w:p>
        <w:p w:rsidR="00015EDA" w:rsidRPr="00346926" w:rsidRDefault="006566FB" w:rsidP="00015EDA">
          <w:pPr>
            <w:pStyle w:val="TOC2"/>
            <w:tabs>
              <w:tab w:val="right" w:leader="dot" w:pos="9016"/>
            </w:tabs>
            <w:rPr>
              <w:rFonts w:eastAsiaTheme="minorEastAsia"/>
              <w:noProof/>
              <w:sz w:val="18"/>
              <w:lang w:eastAsia="en-NZ"/>
            </w:rPr>
          </w:pPr>
          <w:hyperlink w:anchor="_Toc463540068" w:history="1">
            <w:r w:rsidR="00015EDA" w:rsidRPr="00346926">
              <w:rPr>
                <w:rStyle w:val="Hyperlink"/>
                <w:noProof/>
                <w:sz w:val="18"/>
              </w:rPr>
              <w:t>6.4 Recommendations</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_Toc463540068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12</w:t>
            </w:r>
            <w:r w:rsidR="00015EDA" w:rsidRPr="00346926">
              <w:rPr>
                <w:noProof/>
                <w:webHidden/>
                <w:sz w:val="18"/>
              </w:rPr>
              <w:fldChar w:fldCharType="end"/>
            </w:r>
          </w:hyperlink>
        </w:p>
        <w:p w:rsidR="00015EDA" w:rsidRPr="00346926" w:rsidRDefault="006566FB" w:rsidP="00015EDA">
          <w:pPr>
            <w:pStyle w:val="TOC1"/>
            <w:tabs>
              <w:tab w:val="right" w:leader="dot" w:pos="9016"/>
            </w:tabs>
            <w:rPr>
              <w:rFonts w:eastAsiaTheme="minorEastAsia"/>
              <w:noProof/>
              <w:sz w:val="18"/>
              <w:lang w:eastAsia="en-NZ"/>
            </w:rPr>
          </w:pPr>
          <w:hyperlink w:anchor="_Toc463540069" w:history="1">
            <w:r w:rsidR="00015EDA" w:rsidRPr="00346926">
              <w:rPr>
                <w:rStyle w:val="Hyperlink"/>
                <w:noProof/>
                <w:sz w:val="18"/>
              </w:rPr>
              <w:t>7. Route to market</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_Toc463540069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12</w:t>
            </w:r>
            <w:r w:rsidR="00015EDA" w:rsidRPr="00346926">
              <w:rPr>
                <w:noProof/>
                <w:webHidden/>
                <w:sz w:val="18"/>
              </w:rPr>
              <w:fldChar w:fldCharType="end"/>
            </w:r>
          </w:hyperlink>
        </w:p>
        <w:p w:rsidR="00015EDA" w:rsidRPr="00346926" w:rsidRDefault="006566FB" w:rsidP="00015EDA">
          <w:pPr>
            <w:pStyle w:val="TOC2"/>
            <w:tabs>
              <w:tab w:val="right" w:leader="dot" w:pos="9016"/>
            </w:tabs>
            <w:rPr>
              <w:rFonts w:eastAsiaTheme="minorEastAsia"/>
              <w:noProof/>
              <w:sz w:val="18"/>
              <w:lang w:eastAsia="en-NZ"/>
            </w:rPr>
          </w:pPr>
          <w:hyperlink w:anchor="_Toc463540070" w:history="1">
            <w:r w:rsidR="00015EDA" w:rsidRPr="00346926">
              <w:rPr>
                <w:rStyle w:val="Hyperlink"/>
                <w:noProof/>
                <w:sz w:val="18"/>
              </w:rPr>
              <w:t>7.1 Introduction</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_Toc463540070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12</w:t>
            </w:r>
            <w:r w:rsidR="00015EDA" w:rsidRPr="00346926">
              <w:rPr>
                <w:noProof/>
                <w:webHidden/>
                <w:sz w:val="18"/>
              </w:rPr>
              <w:fldChar w:fldCharType="end"/>
            </w:r>
          </w:hyperlink>
        </w:p>
        <w:p w:rsidR="00015EDA" w:rsidRPr="00346926" w:rsidRDefault="006566FB" w:rsidP="00015EDA">
          <w:pPr>
            <w:pStyle w:val="TOC2"/>
            <w:tabs>
              <w:tab w:val="right" w:leader="dot" w:pos="9016"/>
            </w:tabs>
            <w:rPr>
              <w:rFonts w:eastAsiaTheme="minorEastAsia"/>
              <w:noProof/>
              <w:sz w:val="18"/>
              <w:lang w:eastAsia="en-NZ"/>
            </w:rPr>
          </w:pPr>
          <w:hyperlink w:anchor="_Toc463540071" w:history="1">
            <w:r w:rsidR="00015EDA" w:rsidRPr="00346926">
              <w:rPr>
                <w:rStyle w:val="Hyperlink"/>
                <w:noProof/>
                <w:sz w:val="18"/>
              </w:rPr>
              <w:t>7.2 Methodology</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_Toc463540071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13</w:t>
            </w:r>
            <w:r w:rsidR="00015EDA" w:rsidRPr="00346926">
              <w:rPr>
                <w:noProof/>
                <w:webHidden/>
                <w:sz w:val="18"/>
              </w:rPr>
              <w:fldChar w:fldCharType="end"/>
            </w:r>
          </w:hyperlink>
        </w:p>
        <w:p w:rsidR="00015EDA" w:rsidRPr="00346926" w:rsidRDefault="006566FB" w:rsidP="00015EDA">
          <w:pPr>
            <w:pStyle w:val="TOC2"/>
            <w:tabs>
              <w:tab w:val="right" w:leader="dot" w:pos="9016"/>
            </w:tabs>
            <w:rPr>
              <w:rFonts w:eastAsiaTheme="minorEastAsia"/>
              <w:noProof/>
              <w:sz w:val="18"/>
              <w:lang w:eastAsia="en-NZ"/>
            </w:rPr>
          </w:pPr>
          <w:hyperlink w:anchor="_Toc463540072" w:history="1">
            <w:r w:rsidR="00015EDA" w:rsidRPr="00346926">
              <w:rPr>
                <w:rStyle w:val="Hyperlink"/>
                <w:noProof/>
                <w:sz w:val="18"/>
              </w:rPr>
              <w:t>7.3 Competitive Advantage</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_Toc463540072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15</w:t>
            </w:r>
            <w:r w:rsidR="00015EDA" w:rsidRPr="00346926">
              <w:rPr>
                <w:noProof/>
                <w:webHidden/>
                <w:sz w:val="18"/>
              </w:rPr>
              <w:fldChar w:fldCharType="end"/>
            </w:r>
          </w:hyperlink>
        </w:p>
        <w:p w:rsidR="00015EDA" w:rsidRPr="00346926" w:rsidRDefault="006566FB" w:rsidP="00015EDA">
          <w:pPr>
            <w:pStyle w:val="TOC3"/>
            <w:tabs>
              <w:tab w:val="right" w:leader="dot" w:pos="9016"/>
            </w:tabs>
            <w:rPr>
              <w:rFonts w:eastAsiaTheme="minorEastAsia"/>
              <w:noProof/>
              <w:sz w:val="18"/>
              <w:lang w:eastAsia="en-NZ"/>
            </w:rPr>
          </w:pPr>
          <w:hyperlink w:anchor="_Toc463540073" w:history="1">
            <w:r w:rsidR="00015EDA" w:rsidRPr="00346926">
              <w:rPr>
                <w:rStyle w:val="Hyperlink"/>
                <w:noProof/>
                <w:sz w:val="18"/>
              </w:rPr>
              <w:t>7.3.1 Definition</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_Toc463540073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15</w:t>
            </w:r>
            <w:r w:rsidR="00015EDA" w:rsidRPr="00346926">
              <w:rPr>
                <w:noProof/>
                <w:webHidden/>
                <w:sz w:val="18"/>
              </w:rPr>
              <w:fldChar w:fldCharType="end"/>
            </w:r>
          </w:hyperlink>
        </w:p>
        <w:p w:rsidR="00015EDA" w:rsidRPr="00346926" w:rsidRDefault="006566FB" w:rsidP="00015EDA">
          <w:pPr>
            <w:pStyle w:val="TOC3"/>
            <w:tabs>
              <w:tab w:val="right" w:leader="dot" w:pos="9016"/>
            </w:tabs>
            <w:rPr>
              <w:rFonts w:eastAsiaTheme="minorEastAsia"/>
              <w:noProof/>
              <w:sz w:val="18"/>
              <w:lang w:eastAsia="en-NZ"/>
            </w:rPr>
          </w:pPr>
          <w:hyperlink w:anchor="_Toc463540074" w:history="1">
            <w:r w:rsidR="00015EDA" w:rsidRPr="00346926">
              <w:rPr>
                <w:rStyle w:val="Hyperlink"/>
                <w:noProof/>
                <w:sz w:val="18"/>
              </w:rPr>
              <w:t>7.3.2 Relevance</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_Toc463540074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15</w:t>
            </w:r>
            <w:r w:rsidR="00015EDA" w:rsidRPr="00346926">
              <w:rPr>
                <w:noProof/>
                <w:webHidden/>
                <w:sz w:val="18"/>
              </w:rPr>
              <w:fldChar w:fldCharType="end"/>
            </w:r>
          </w:hyperlink>
        </w:p>
        <w:p w:rsidR="00015EDA" w:rsidRPr="00346926" w:rsidRDefault="006566FB" w:rsidP="00015EDA">
          <w:pPr>
            <w:pStyle w:val="TOC3"/>
            <w:tabs>
              <w:tab w:val="right" w:leader="dot" w:pos="9016"/>
            </w:tabs>
            <w:rPr>
              <w:rFonts w:eastAsiaTheme="minorEastAsia"/>
              <w:noProof/>
              <w:sz w:val="18"/>
              <w:lang w:eastAsia="en-NZ"/>
            </w:rPr>
          </w:pPr>
          <w:hyperlink w:anchor="_Toc463540075" w:history="1">
            <w:r w:rsidR="00015EDA" w:rsidRPr="00346926">
              <w:rPr>
                <w:rStyle w:val="Hyperlink"/>
                <w:noProof/>
                <w:sz w:val="18"/>
              </w:rPr>
              <w:t>7.3.3 Resource based competitive advantage</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_Toc463540075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15</w:t>
            </w:r>
            <w:r w:rsidR="00015EDA" w:rsidRPr="00346926">
              <w:rPr>
                <w:noProof/>
                <w:webHidden/>
                <w:sz w:val="18"/>
              </w:rPr>
              <w:fldChar w:fldCharType="end"/>
            </w:r>
          </w:hyperlink>
        </w:p>
        <w:p w:rsidR="00015EDA" w:rsidRPr="00346926" w:rsidRDefault="006566FB" w:rsidP="00015EDA">
          <w:pPr>
            <w:pStyle w:val="TOC3"/>
            <w:tabs>
              <w:tab w:val="right" w:leader="dot" w:pos="9016"/>
            </w:tabs>
            <w:rPr>
              <w:rFonts w:eastAsiaTheme="minorEastAsia"/>
              <w:noProof/>
              <w:sz w:val="18"/>
              <w:lang w:eastAsia="en-NZ"/>
            </w:rPr>
          </w:pPr>
          <w:hyperlink w:anchor="_Toc463540076" w:history="1">
            <w:r w:rsidR="00015EDA" w:rsidRPr="00346926">
              <w:rPr>
                <w:rStyle w:val="Hyperlink"/>
                <w:noProof/>
                <w:sz w:val="18"/>
              </w:rPr>
              <w:t>7.3.4 Recommendation</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_Toc463540076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15</w:t>
            </w:r>
            <w:r w:rsidR="00015EDA" w:rsidRPr="00346926">
              <w:rPr>
                <w:noProof/>
                <w:webHidden/>
                <w:sz w:val="18"/>
              </w:rPr>
              <w:fldChar w:fldCharType="end"/>
            </w:r>
          </w:hyperlink>
        </w:p>
        <w:p w:rsidR="00015EDA" w:rsidRPr="00346926" w:rsidRDefault="006566FB" w:rsidP="00015EDA">
          <w:pPr>
            <w:pStyle w:val="TOC2"/>
            <w:tabs>
              <w:tab w:val="right" w:leader="dot" w:pos="9016"/>
            </w:tabs>
            <w:rPr>
              <w:rFonts w:eastAsiaTheme="minorEastAsia"/>
              <w:noProof/>
              <w:sz w:val="18"/>
              <w:lang w:eastAsia="en-NZ"/>
            </w:rPr>
          </w:pPr>
          <w:hyperlink w:anchor="_Toc463540077" w:history="1">
            <w:r w:rsidR="00015EDA" w:rsidRPr="00346926">
              <w:rPr>
                <w:rStyle w:val="Hyperlink"/>
                <w:noProof/>
                <w:sz w:val="18"/>
              </w:rPr>
              <w:t>7.4 Intellectual Property</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_Toc463540077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16</w:t>
            </w:r>
            <w:r w:rsidR="00015EDA" w:rsidRPr="00346926">
              <w:rPr>
                <w:noProof/>
                <w:webHidden/>
                <w:sz w:val="18"/>
              </w:rPr>
              <w:fldChar w:fldCharType="end"/>
            </w:r>
          </w:hyperlink>
        </w:p>
        <w:p w:rsidR="00015EDA" w:rsidRPr="00346926" w:rsidRDefault="006566FB" w:rsidP="00015EDA">
          <w:pPr>
            <w:pStyle w:val="TOC3"/>
            <w:tabs>
              <w:tab w:val="right" w:leader="dot" w:pos="9016"/>
            </w:tabs>
            <w:rPr>
              <w:rFonts w:eastAsiaTheme="minorEastAsia"/>
              <w:noProof/>
              <w:sz w:val="18"/>
              <w:lang w:eastAsia="en-NZ"/>
            </w:rPr>
          </w:pPr>
          <w:hyperlink w:anchor="_Toc463540078" w:history="1">
            <w:r w:rsidR="00015EDA" w:rsidRPr="00346926">
              <w:rPr>
                <w:rStyle w:val="Hyperlink"/>
                <w:noProof/>
                <w:sz w:val="18"/>
              </w:rPr>
              <w:t>7.4.1 Background</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_Toc463540078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16</w:t>
            </w:r>
            <w:r w:rsidR="00015EDA" w:rsidRPr="00346926">
              <w:rPr>
                <w:noProof/>
                <w:webHidden/>
                <w:sz w:val="18"/>
              </w:rPr>
              <w:fldChar w:fldCharType="end"/>
            </w:r>
          </w:hyperlink>
        </w:p>
        <w:p w:rsidR="00015EDA" w:rsidRPr="00346926" w:rsidRDefault="006566FB" w:rsidP="00015EDA">
          <w:pPr>
            <w:pStyle w:val="TOC3"/>
            <w:tabs>
              <w:tab w:val="right" w:leader="dot" w:pos="9016"/>
            </w:tabs>
            <w:rPr>
              <w:rFonts w:eastAsiaTheme="minorEastAsia"/>
              <w:noProof/>
              <w:sz w:val="18"/>
              <w:lang w:eastAsia="en-NZ"/>
            </w:rPr>
          </w:pPr>
          <w:hyperlink w:anchor="_Toc463540079" w:history="1">
            <w:r w:rsidR="00015EDA" w:rsidRPr="00346926">
              <w:rPr>
                <w:rStyle w:val="Hyperlink"/>
                <w:noProof/>
                <w:sz w:val="18"/>
              </w:rPr>
              <w:t>7.4.2 Approach</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_Toc463540079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16</w:t>
            </w:r>
            <w:r w:rsidR="00015EDA" w:rsidRPr="00346926">
              <w:rPr>
                <w:noProof/>
                <w:webHidden/>
                <w:sz w:val="18"/>
              </w:rPr>
              <w:fldChar w:fldCharType="end"/>
            </w:r>
          </w:hyperlink>
        </w:p>
        <w:p w:rsidR="00015EDA" w:rsidRPr="00346926" w:rsidRDefault="006566FB" w:rsidP="00015EDA">
          <w:pPr>
            <w:pStyle w:val="TOC3"/>
            <w:tabs>
              <w:tab w:val="right" w:leader="dot" w:pos="9016"/>
            </w:tabs>
            <w:rPr>
              <w:rFonts w:eastAsiaTheme="minorEastAsia"/>
              <w:noProof/>
              <w:sz w:val="18"/>
              <w:lang w:eastAsia="en-NZ"/>
            </w:rPr>
          </w:pPr>
          <w:hyperlink w:anchor="_Toc463540080" w:history="1">
            <w:r w:rsidR="00015EDA" w:rsidRPr="00346926">
              <w:rPr>
                <w:rStyle w:val="Hyperlink"/>
                <w:noProof/>
                <w:sz w:val="18"/>
              </w:rPr>
              <w:t>7.4.3 Current patents</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_Toc463540080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16</w:t>
            </w:r>
            <w:r w:rsidR="00015EDA" w:rsidRPr="00346926">
              <w:rPr>
                <w:noProof/>
                <w:webHidden/>
                <w:sz w:val="18"/>
              </w:rPr>
              <w:fldChar w:fldCharType="end"/>
            </w:r>
          </w:hyperlink>
        </w:p>
        <w:p w:rsidR="00015EDA" w:rsidRPr="00346926" w:rsidRDefault="006566FB" w:rsidP="00015EDA">
          <w:pPr>
            <w:pStyle w:val="TOC3"/>
            <w:tabs>
              <w:tab w:val="right" w:leader="dot" w:pos="9016"/>
            </w:tabs>
            <w:rPr>
              <w:rFonts w:eastAsiaTheme="minorEastAsia"/>
              <w:noProof/>
              <w:sz w:val="18"/>
              <w:lang w:eastAsia="en-NZ"/>
            </w:rPr>
          </w:pPr>
          <w:hyperlink w:anchor="_Toc463540081" w:history="1">
            <w:r w:rsidR="00015EDA" w:rsidRPr="00346926">
              <w:rPr>
                <w:rStyle w:val="Hyperlink"/>
                <w:noProof/>
                <w:sz w:val="18"/>
              </w:rPr>
              <w:t>7.4.4 Summary</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_Toc463540081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16</w:t>
            </w:r>
            <w:r w:rsidR="00015EDA" w:rsidRPr="00346926">
              <w:rPr>
                <w:noProof/>
                <w:webHidden/>
                <w:sz w:val="18"/>
              </w:rPr>
              <w:fldChar w:fldCharType="end"/>
            </w:r>
          </w:hyperlink>
        </w:p>
        <w:p w:rsidR="00015EDA" w:rsidRPr="00346926" w:rsidRDefault="006566FB" w:rsidP="00015EDA">
          <w:pPr>
            <w:pStyle w:val="TOC1"/>
            <w:tabs>
              <w:tab w:val="right" w:leader="dot" w:pos="9016"/>
            </w:tabs>
            <w:rPr>
              <w:rFonts w:eastAsiaTheme="minorEastAsia"/>
              <w:noProof/>
              <w:sz w:val="18"/>
              <w:lang w:eastAsia="en-NZ"/>
            </w:rPr>
          </w:pPr>
          <w:hyperlink w:anchor="_Toc463540082" w:history="1">
            <w:r w:rsidR="00015EDA" w:rsidRPr="00346926">
              <w:rPr>
                <w:rStyle w:val="Hyperlink"/>
                <w:noProof/>
                <w:sz w:val="18"/>
              </w:rPr>
              <w:t>8. Sustainability</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_Toc463540082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17</w:t>
            </w:r>
            <w:r w:rsidR="00015EDA" w:rsidRPr="00346926">
              <w:rPr>
                <w:noProof/>
                <w:webHidden/>
                <w:sz w:val="18"/>
              </w:rPr>
              <w:fldChar w:fldCharType="end"/>
            </w:r>
          </w:hyperlink>
        </w:p>
        <w:p w:rsidR="00015EDA" w:rsidRPr="00346926" w:rsidRDefault="006566FB" w:rsidP="00015EDA">
          <w:pPr>
            <w:pStyle w:val="TOC2"/>
            <w:tabs>
              <w:tab w:val="right" w:leader="dot" w:pos="9016"/>
            </w:tabs>
            <w:rPr>
              <w:rFonts w:eastAsiaTheme="minorEastAsia"/>
              <w:noProof/>
              <w:sz w:val="18"/>
              <w:lang w:eastAsia="en-NZ"/>
            </w:rPr>
          </w:pPr>
          <w:hyperlink w:anchor="_Toc463540083" w:history="1">
            <w:r w:rsidR="00015EDA" w:rsidRPr="00346926">
              <w:rPr>
                <w:rStyle w:val="Hyperlink"/>
                <w:noProof/>
                <w:sz w:val="18"/>
              </w:rPr>
              <w:t>8.1 Economic Sustainability</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_Toc463540083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17</w:t>
            </w:r>
            <w:r w:rsidR="00015EDA" w:rsidRPr="00346926">
              <w:rPr>
                <w:noProof/>
                <w:webHidden/>
                <w:sz w:val="18"/>
              </w:rPr>
              <w:fldChar w:fldCharType="end"/>
            </w:r>
          </w:hyperlink>
        </w:p>
        <w:p w:rsidR="00015EDA" w:rsidRPr="00346926" w:rsidRDefault="006566FB" w:rsidP="00015EDA">
          <w:pPr>
            <w:pStyle w:val="TOC2"/>
            <w:tabs>
              <w:tab w:val="right" w:leader="dot" w:pos="9016"/>
            </w:tabs>
            <w:rPr>
              <w:rFonts w:eastAsiaTheme="minorEastAsia"/>
              <w:noProof/>
              <w:sz w:val="18"/>
              <w:lang w:eastAsia="en-NZ"/>
            </w:rPr>
          </w:pPr>
          <w:hyperlink w:anchor="_Toc463540084" w:history="1">
            <w:r w:rsidR="00015EDA" w:rsidRPr="00346926">
              <w:rPr>
                <w:rStyle w:val="Hyperlink"/>
                <w:noProof/>
                <w:sz w:val="18"/>
              </w:rPr>
              <w:t>8.2 Social Sustainability</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_Toc463540084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17</w:t>
            </w:r>
            <w:r w:rsidR="00015EDA" w:rsidRPr="00346926">
              <w:rPr>
                <w:noProof/>
                <w:webHidden/>
                <w:sz w:val="18"/>
              </w:rPr>
              <w:fldChar w:fldCharType="end"/>
            </w:r>
          </w:hyperlink>
        </w:p>
        <w:p w:rsidR="00015EDA" w:rsidRPr="00346926" w:rsidRDefault="006566FB" w:rsidP="00015EDA">
          <w:pPr>
            <w:pStyle w:val="TOC2"/>
            <w:tabs>
              <w:tab w:val="right" w:leader="dot" w:pos="9016"/>
            </w:tabs>
            <w:rPr>
              <w:rFonts w:eastAsiaTheme="minorEastAsia"/>
              <w:noProof/>
              <w:sz w:val="18"/>
              <w:lang w:eastAsia="en-NZ"/>
            </w:rPr>
          </w:pPr>
          <w:hyperlink w:anchor="_Toc463540085" w:history="1">
            <w:r w:rsidR="00015EDA" w:rsidRPr="00346926">
              <w:rPr>
                <w:rStyle w:val="Hyperlink"/>
                <w:noProof/>
                <w:sz w:val="18"/>
              </w:rPr>
              <w:t>8.3 Environmental Sustainability</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_Toc463540085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18</w:t>
            </w:r>
            <w:r w:rsidR="00015EDA" w:rsidRPr="00346926">
              <w:rPr>
                <w:noProof/>
                <w:webHidden/>
                <w:sz w:val="18"/>
              </w:rPr>
              <w:fldChar w:fldCharType="end"/>
            </w:r>
          </w:hyperlink>
        </w:p>
        <w:p w:rsidR="00015EDA" w:rsidRPr="00346926" w:rsidRDefault="006566FB" w:rsidP="00015EDA">
          <w:pPr>
            <w:pStyle w:val="TOC1"/>
            <w:tabs>
              <w:tab w:val="right" w:leader="dot" w:pos="9016"/>
            </w:tabs>
            <w:rPr>
              <w:rFonts w:eastAsiaTheme="minorEastAsia"/>
              <w:noProof/>
              <w:sz w:val="18"/>
              <w:lang w:eastAsia="en-NZ"/>
            </w:rPr>
          </w:pPr>
          <w:hyperlink w:anchor="_Toc463540086" w:history="1">
            <w:r w:rsidR="00015EDA" w:rsidRPr="00346926">
              <w:rPr>
                <w:rStyle w:val="Hyperlink"/>
                <w:noProof/>
                <w:sz w:val="18"/>
              </w:rPr>
              <w:t>9. Human Resources</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_Toc463540086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18</w:t>
            </w:r>
            <w:r w:rsidR="00015EDA" w:rsidRPr="00346926">
              <w:rPr>
                <w:noProof/>
                <w:webHidden/>
                <w:sz w:val="18"/>
              </w:rPr>
              <w:fldChar w:fldCharType="end"/>
            </w:r>
          </w:hyperlink>
        </w:p>
        <w:p w:rsidR="00015EDA" w:rsidRPr="00346926" w:rsidRDefault="006566FB" w:rsidP="00015EDA">
          <w:pPr>
            <w:pStyle w:val="TOC1"/>
            <w:tabs>
              <w:tab w:val="right" w:leader="dot" w:pos="9016"/>
            </w:tabs>
            <w:rPr>
              <w:rFonts w:eastAsiaTheme="minorEastAsia"/>
              <w:noProof/>
              <w:sz w:val="18"/>
              <w:lang w:eastAsia="en-NZ"/>
            </w:rPr>
          </w:pPr>
          <w:hyperlink w:anchor="_Toc463540087" w:history="1">
            <w:r w:rsidR="00015EDA" w:rsidRPr="00346926">
              <w:rPr>
                <w:rStyle w:val="Hyperlink"/>
                <w:noProof/>
                <w:sz w:val="18"/>
              </w:rPr>
              <w:t>10. Communication Plan</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_Toc463540087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19</w:t>
            </w:r>
            <w:r w:rsidR="00015EDA" w:rsidRPr="00346926">
              <w:rPr>
                <w:noProof/>
                <w:webHidden/>
                <w:sz w:val="18"/>
              </w:rPr>
              <w:fldChar w:fldCharType="end"/>
            </w:r>
          </w:hyperlink>
        </w:p>
        <w:p w:rsidR="00015EDA" w:rsidRPr="00346926" w:rsidRDefault="006566FB" w:rsidP="00015EDA">
          <w:pPr>
            <w:pStyle w:val="TOC2"/>
            <w:tabs>
              <w:tab w:val="right" w:leader="dot" w:pos="9016"/>
            </w:tabs>
            <w:rPr>
              <w:rFonts w:eastAsiaTheme="minorEastAsia"/>
              <w:noProof/>
              <w:sz w:val="18"/>
              <w:lang w:eastAsia="en-NZ"/>
            </w:rPr>
          </w:pPr>
          <w:hyperlink w:anchor="_Toc463540088" w:history="1">
            <w:r w:rsidR="00015EDA" w:rsidRPr="00346926">
              <w:rPr>
                <w:rStyle w:val="Hyperlink"/>
                <w:noProof/>
                <w:sz w:val="18"/>
              </w:rPr>
              <w:t>Identify stakeholders and grants</w:t>
            </w:r>
            <w:r w:rsidR="00015EDA" w:rsidRPr="00346926">
              <w:rPr>
                <w:noProof/>
                <w:webHidden/>
                <w:sz w:val="18"/>
              </w:rPr>
              <w:tab/>
            </w:r>
            <w:r w:rsidR="00015EDA" w:rsidRPr="00346926">
              <w:rPr>
                <w:noProof/>
                <w:webHidden/>
                <w:sz w:val="18"/>
              </w:rPr>
              <w:fldChar w:fldCharType="begin"/>
            </w:r>
            <w:r w:rsidR="00015EDA" w:rsidRPr="00346926">
              <w:rPr>
                <w:noProof/>
                <w:webHidden/>
                <w:sz w:val="18"/>
              </w:rPr>
              <w:instrText xml:space="preserve"> PAGEREF _Toc463540088 \h </w:instrText>
            </w:r>
            <w:r w:rsidR="00015EDA" w:rsidRPr="00346926">
              <w:rPr>
                <w:noProof/>
                <w:webHidden/>
                <w:sz w:val="18"/>
              </w:rPr>
            </w:r>
            <w:r w:rsidR="00015EDA" w:rsidRPr="00346926">
              <w:rPr>
                <w:noProof/>
                <w:webHidden/>
                <w:sz w:val="18"/>
              </w:rPr>
              <w:fldChar w:fldCharType="separate"/>
            </w:r>
            <w:r w:rsidR="00015EDA" w:rsidRPr="00346926">
              <w:rPr>
                <w:noProof/>
                <w:webHidden/>
                <w:sz w:val="18"/>
              </w:rPr>
              <w:t>19</w:t>
            </w:r>
            <w:r w:rsidR="00015EDA" w:rsidRPr="00346926">
              <w:rPr>
                <w:noProof/>
                <w:webHidden/>
                <w:sz w:val="18"/>
              </w:rPr>
              <w:fldChar w:fldCharType="end"/>
            </w:r>
          </w:hyperlink>
        </w:p>
        <w:p w:rsidR="00015EDA" w:rsidRDefault="00015EDA" w:rsidP="00015EDA">
          <w:r>
            <w:rPr>
              <w:b/>
              <w:bCs/>
              <w:noProof/>
            </w:rPr>
            <w:fldChar w:fldCharType="end"/>
          </w:r>
        </w:p>
      </w:sdtContent>
    </w:sdt>
    <w:p w:rsidR="00015EDA" w:rsidRDefault="00015EDA" w:rsidP="00015EDA">
      <w:r>
        <w:br w:type="page"/>
      </w:r>
    </w:p>
    <w:p w:rsidR="00015EDA" w:rsidRDefault="00015EDA" w:rsidP="00015EDA">
      <w:pPr>
        <w:pStyle w:val="Heading1"/>
      </w:pPr>
      <w:bookmarkStart w:id="1" w:name="_Toc463540052"/>
      <w:r>
        <w:lastRenderedPageBreak/>
        <w:t>2. Introduction</w:t>
      </w:r>
      <w:bookmarkEnd w:id="1"/>
    </w:p>
    <w:p w:rsidR="00015EDA" w:rsidRDefault="00015EDA" w:rsidP="00015EDA">
      <w:pPr>
        <w:jc w:val="both"/>
      </w:pPr>
      <w:r>
        <w:t xml:space="preserve">This report investigates the feasibility of implementing bio-processors to turn manure collected from Dairy Farm sheds into biogas. The biogas will then be piped to a centralised processing plant to turn the methane content of biogas into high value methanol by steam reformation processing. The venture will be conducted as a new project for Methanex New Zealand Limited, which is </w:t>
      </w:r>
      <w:r w:rsidRPr="00A85878">
        <w:rPr>
          <w:rFonts w:eastAsia="Times New Roman" w:cs="Arial"/>
          <w:lang w:eastAsia="en-NZ"/>
        </w:rPr>
        <w:t>New Zealand’s only methanol manufacturer, with three production facilities providing the capacity to produce up to 2.4 million tonnes of methanol annually</w:t>
      </w:r>
      <w:r>
        <w:rPr>
          <w:rFonts w:eastAsia="Times New Roman" w:cs="Arial"/>
          <w:lang w:eastAsia="en-NZ"/>
        </w:rPr>
        <w:t xml:space="preserve"> from Taranaki natural gas feedstocks</w:t>
      </w:r>
      <w:r w:rsidRPr="00A85878">
        <w:rPr>
          <w:rFonts w:eastAsia="Times New Roman" w:cs="Arial"/>
          <w:lang w:eastAsia="en-NZ"/>
        </w:rPr>
        <w:t xml:space="preserve">. Approximately 95 per cent of the methanol </w:t>
      </w:r>
      <w:r>
        <w:rPr>
          <w:rFonts w:eastAsia="Times New Roman" w:cs="Arial"/>
          <w:lang w:eastAsia="en-NZ"/>
        </w:rPr>
        <w:t xml:space="preserve">it </w:t>
      </w:r>
      <w:r w:rsidRPr="00A85878">
        <w:rPr>
          <w:rFonts w:eastAsia="Times New Roman" w:cs="Arial"/>
          <w:lang w:eastAsia="en-NZ"/>
        </w:rPr>
        <w:t>produce</w:t>
      </w:r>
      <w:r>
        <w:rPr>
          <w:rFonts w:eastAsia="Times New Roman" w:cs="Arial"/>
          <w:lang w:eastAsia="en-NZ"/>
        </w:rPr>
        <w:t>s</w:t>
      </w:r>
      <w:r w:rsidRPr="00A85878">
        <w:rPr>
          <w:rFonts w:eastAsia="Times New Roman" w:cs="Arial"/>
          <w:lang w:eastAsia="en-NZ"/>
        </w:rPr>
        <w:t xml:space="preserve"> is exported to the Asia Pacific region.</w:t>
      </w:r>
      <w:r>
        <w:rPr>
          <w:rFonts w:eastAsia="Times New Roman" w:cs="Arial"/>
          <w:lang w:eastAsia="en-NZ"/>
        </w:rPr>
        <w:t xml:space="preserve"> </w:t>
      </w:r>
      <w:r>
        <w:t xml:space="preserve">Methanex use methanol to create high value product. Methanol is the building block for countless everyday products and can also be used as a clean-burning alternative source of energy. </w:t>
      </w:r>
    </w:p>
    <w:p w:rsidR="00015EDA" w:rsidRPr="004C32B5" w:rsidRDefault="00015EDA" w:rsidP="001162F5">
      <w:pPr>
        <w:jc w:val="both"/>
        <w:rPr>
          <w:sz w:val="36"/>
        </w:rPr>
      </w:pPr>
      <w:r>
        <w:t xml:space="preserve">This report investigates the potential reduction in costs and emissions for dairy farmers with the implementation of this system. </w:t>
      </w:r>
      <w:r>
        <w:rPr>
          <w:rFonts w:ascii="Calibri" w:eastAsia="Times New Roman" w:hAnsi="Calibri" w:cs="Times New Roman"/>
          <w:color w:val="000000"/>
          <w:lang w:eastAsia="en-NZ"/>
        </w:rPr>
        <w:t>Manure will be collected from dairy sheds and broken down in a bio processor using bacteria. The methane expelled will be collected and piped to the centralised processing plant.</w:t>
      </w:r>
    </w:p>
    <w:p w:rsidR="00015EDA" w:rsidRDefault="00015EDA" w:rsidP="00015EDA">
      <w:pPr>
        <w:spacing w:line="240" w:lineRule="auto"/>
        <w:jc w:val="both"/>
        <w:rPr>
          <w:rFonts w:ascii="Calibri" w:eastAsia="Times New Roman" w:hAnsi="Calibri" w:cs="Times New Roman"/>
          <w:color w:val="000000"/>
          <w:lang w:eastAsia="en-NZ"/>
        </w:rPr>
      </w:pPr>
      <w:r>
        <w:rPr>
          <w:rFonts w:ascii="Calibri" w:eastAsia="Times New Roman" w:hAnsi="Calibri" w:cs="Times New Roman"/>
          <w:color w:val="000000"/>
          <w:lang w:eastAsia="en-NZ"/>
        </w:rPr>
        <w:t>The by-product of the biological process is a nitrogen rich substance suitable for use as a fertiliser. This is part of the company’s marketing material, as there is an opportunity for farmers to reduce costs and environmental impacts from fertilisers.</w:t>
      </w:r>
    </w:p>
    <w:p w:rsidR="00015EDA" w:rsidRDefault="00015EDA" w:rsidP="00015EDA">
      <w:pPr>
        <w:spacing w:line="240" w:lineRule="auto"/>
        <w:jc w:val="both"/>
        <w:rPr>
          <w:rFonts w:ascii="Calibri" w:eastAsia="Times New Roman" w:hAnsi="Calibri" w:cs="Times New Roman"/>
          <w:color w:val="000000"/>
          <w:lang w:eastAsia="en-NZ"/>
        </w:rPr>
      </w:pPr>
      <w:r>
        <w:rPr>
          <w:rFonts w:ascii="Calibri" w:eastAsia="Times New Roman" w:hAnsi="Calibri" w:cs="Times New Roman"/>
          <w:color w:val="000000"/>
          <w:lang w:eastAsia="en-NZ"/>
        </w:rPr>
        <w:t>The company will sell the proprietary technology to farmers, who will provide the biogas produced by the bio-processor. The biogas is piped from 10 surrounding dairy farms to a centralised plant where the methane component of the biogas undergoes an oxidation process to form high value methanol. Methanol is also a liquid at room temperature and pressure, making it a lot more convenient for storage and transport than methane gas. While each of these technologies are not completely novel on their own, the implementation of the system in the context of renewably sourced dairy farm biogas is one that has not been previously investigated before, and has many factors that mean it is suitable for application in the New Zealand environment.</w:t>
      </w:r>
    </w:p>
    <w:p w:rsidR="00015EDA" w:rsidRDefault="00015EDA" w:rsidP="00015EDA">
      <w:pPr>
        <w:pStyle w:val="Heading1"/>
        <w:rPr>
          <w:rFonts w:eastAsia="Times New Roman"/>
          <w:lang w:eastAsia="en-NZ"/>
        </w:rPr>
      </w:pPr>
      <w:bookmarkStart w:id="2" w:name="_Toc463540053"/>
      <w:r>
        <w:rPr>
          <w:rFonts w:eastAsia="Times New Roman"/>
          <w:lang w:eastAsia="en-NZ"/>
        </w:rPr>
        <w:lastRenderedPageBreak/>
        <w:t>3. System Architecture</w:t>
      </w:r>
      <w:bookmarkEnd w:id="2"/>
    </w:p>
    <w:p w:rsidR="00015EDA" w:rsidRDefault="00015EDA" w:rsidP="00015EDA">
      <w:pPr>
        <w:pStyle w:val="Heading2"/>
        <w:ind w:firstLine="720"/>
        <w:rPr>
          <w:rFonts w:eastAsia="Times New Roman"/>
          <w:lang w:eastAsia="en-NZ"/>
        </w:rPr>
      </w:pPr>
      <w:bookmarkStart w:id="3" w:name="_Toc463540054"/>
      <w:r>
        <w:rPr>
          <w:rFonts w:eastAsia="Times New Roman"/>
          <w:lang w:eastAsia="en-NZ"/>
        </w:rPr>
        <w:t>3.1 The Concept</w:t>
      </w:r>
      <w:bookmarkEnd w:id="3"/>
    </w:p>
    <w:p w:rsidR="00015EDA" w:rsidRDefault="00015EDA" w:rsidP="00015EDA">
      <w:pPr>
        <w:keepNext/>
        <w:spacing w:line="240" w:lineRule="auto"/>
        <w:jc w:val="center"/>
      </w:pPr>
      <w:r>
        <w:rPr>
          <w:rFonts w:ascii="Calibri" w:eastAsia="Times New Roman" w:hAnsi="Calibri" w:cs="Times New Roman"/>
          <w:noProof/>
          <w:color w:val="000000"/>
          <w:lang w:eastAsia="en-NZ"/>
        </w:rPr>
        <w:drawing>
          <wp:inline distT="0" distB="0" distL="0" distR="0" wp14:anchorId="3D169C69" wp14:editId="277B3B51">
            <wp:extent cx="5862291" cy="4132052"/>
            <wp:effectExtent l="0" t="0" r="571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cep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5263" cy="4155293"/>
                    </a:xfrm>
                    <a:prstGeom prst="rect">
                      <a:avLst/>
                    </a:prstGeom>
                  </pic:spPr>
                </pic:pic>
              </a:graphicData>
            </a:graphic>
          </wp:inline>
        </w:drawing>
      </w:r>
    </w:p>
    <w:p w:rsidR="00015EDA" w:rsidRDefault="00015EDA" w:rsidP="00015EDA">
      <w:pPr>
        <w:pStyle w:val="Caption"/>
        <w:jc w:val="center"/>
        <w:rPr>
          <w:rFonts w:ascii="Calibri" w:eastAsia="Times New Roman" w:hAnsi="Calibri" w:cs="Times New Roman"/>
          <w:color w:val="000000"/>
          <w:lang w:eastAsia="en-NZ"/>
        </w:rPr>
      </w:pPr>
      <w:r>
        <w:t xml:space="preserve">Figure </w:t>
      </w:r>
      <w:r w:rsidR="006566FB">
        <w:fldChar w:fldCharType="begin"/>
      </w:r>
      <w:r w:rsidR="006566FB">
        <w:instrText xml:space="preserve"> SEQ Figure \* ARABIC </w:instrText>
      </w:r>
      <w:r w:rsidR="006566FB">
        <w:fldChar w:fldCharType="separate"/>
      </w:r>
      <w:r>
        <w:rPr>
          <w:noProof/>
        </w:rPr>
        <w:t>1</w:t>
      </w:r>
      <w:r w:rsidR="006566FB">
        <w:rPr>
          <w:noProof/>
        </w:rPr>
        <w:fldChar w:fldCharType="end"/>
      </w:r>
      <w:r>
        <w:t>:</w:t>
      </w:r>
      <w:r w:rsidRPr="00DC0C8F">
        <w:t xml:space="preserve"> Methanex biogas venture concept</w:t>
      </w:r>
    </w:p>
    <w:p w:rsidR="00015EDA" w:rsidRDefault="00015EDA" w:rsidP="00015EDA">
      <w:pPr>
        <w:spacing w:line="240" w:lineRule="auto"/>
        <w:jc w:val="center"/>
        <w:rPr>
          <w:rFonts w:ascii="Calibri" w:eastAsia="Times New Roman" w:hAnsi="Calibri" w:cs="Times New Roman"/>
          <w:color w:val="000000"/>
          <w:lang w:eastAsia="en-NZ"/>
        </w:rPr>
      </w:pPr>
    </w:p>
    <w:p w:rsidR="00015EDA" w:rsidRDefault="00015EDA" w:rsidP="00015EDA">
      <w:pPr>
        <w:keepNext/>
        <w:spacing w:line="240" w:lineRule="auto"/>
        <w:jc w:val="center"/>
      </w:pPr>
      <w:r>
        <w:rPr>
          <w:rFonts w:ascii="Calibri" w:eastAsia="Times New Roman" w:hAnsi="Calibri" w:cs="Times New Roman"/>
          <w:noProof/>
          <w:color w:val="000000"/>
          <w:lang w:eastAsia="en-NZ"/>
        </w:rPr>
        <w:drawing>
          <wp:inline distT="0" distB="0" distL="0" distR="0" wp14:anchorId="3D9F5DBB" wp14:editId="25DB9777">
            <wp:extent cx="4925683" cy="3128622"/>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DEFO diagram.png"/>
                    <pic:cNvPicPr/>
                  </pic:nvPicPr>
                  <pic:blipFill>
                    <a:blip r:embed="rId9">
                      <a:extLst>
                        <a:ext uri="{28A0092B-C50C-407E-A947-70E740481C1C}">
                          <a14:useLocalDpi xmlns:a14="http://schemas.microsoft.com/office/drawing/2010/main" val="0"/>
                        </a:ext>
                      </a:extLst>
                    </a:blip>
                    <a:stretch>
                      <a:fillRect/>
                    </a:stretch>
                  </pic:blipFill>
                  <pic:spPr>
                    <a:xfrm>
                      <a:off x="0" y="0"/>
                      <a:ext cx="4966507" cy="3154552"/>
                    </a:xfrm>
                    <a:prstGeom prst="rect">
                      <a:avLst/>
                    </a:prstGeom>
                  </pic:spPr>
                </pic:pic>
              </a:graphicData>
            </a:graphic>
          </wp:inline>
        </w:drawing>
      </w:r>
    </w:p>
    <w:p w:rsidR="00015EDA" w:rsidRDefault="00015EDA" w:rsidP="00015EDA">
      <w:pPr>
        <w:pStyle w:val="Caption"/>
        <w:jc w:val="center"/>
        <w:rPr>
          <w:rFonts w:ascii="Calibri" w:eastAsia="Times New Roman" w:hAnsi="Calibri" w:cs="Times New Roman"/>
          <w:color w:val="000000"/>
          <w:lang w:eastAsia="en-NZ"/>
        </w:rPr>
      </w:pPr>
      <w:r>
        <w:t xml:space="preserve">Figure </w:t>
      </w:r>
      <w:r w:rsidR="006566FB">
        <w:fldChar w:fldCharType="begin"/>
      </w:r>
      <w:r w:rsidR="006566FB">
        <w:instrText xml:space="preserve"> SEQ Figure \</w:instrText>
      </w:r>
      <w:r w:rsidR="006566FB">
        <w:instrText xml:space="preserve">* ARABIC </w:instrText>
      </w:r>
      <w:r w:rsidR="006566FB">
        <w:fldChar w:fldCharType="separate"/>
      </w:r>
      <w:r>
        <w:rPr>
          <w:noProof/>
        </w:rPr>
        <w:t>2</w:t>
      </w:r>
      <w:r w:rsidR="006566FB">
        <w:rPr>
          <w:noProof/>
        </w:rPr>
        <w:fldChar w:fldCharType="end"/>
      </w:r>
      <w:r w:rsidRPr="0062674A">
        <w:t>: IDEFO diagram of the concept</w:t>
      </w:r>
    </w:p>
    <w:p w:rsidR="00015EDA" w:rsidRDefault="00015EDA" w:rsidP="00015EDA">
      <w:pPr>
        <w:spacing w:line="240" w:lineRule="auto"/>
        <w:jc w:val="center"/>
        <w:rPr>
          <w:rFonts w:ascii="Calibri" w:eastAsia="Times New Roman" w:hAnsi="Calibri" w:cs="Times New Roman"/>
          <w:color w:val="000000"/>
          <w:lang w:eastAsia="en-NZ"/>
        </w:rPr>
      </w:pPr>
    </w:p>
    <w:p w:rsidR="00015EDA" w:rsidRDefault="00015EDA" w:rsidP="00015EDA">
      <w:pPr>
        <w:pStyle w:val="Heading2"/>
        <w:ind w:firstLine="720"/>
        <w:rPr>
          <w:rFonts w:eastAsia="Times New Roman"/>
          <w:lang w:eastAsia="en-NZ"/>
        </w:rPr>
      </w:pPr>
      <w:bookmarkStart w:id="4" w:name="_Toc463540055"/>
      <w:r>
        <w:rPr>
          <w:rFonts w:eastAsia="Times New Roman"/>
          <w:lang w:eastAsia="en-NZ"/>
        </w:rPr>
        <w:t>3.2 The company</w:t>
      </w:r>
      <w:bookmarkEnd w:id="4"/>
    </w:p>
    <w:p w:rsidR="00015EDA" w:rsidRPr="0025297D" w:rsidRDefault="00015EDA" w:rsidP="00015EDA">
      <w:pPr>
        <w:shd w:val="clear" w:color="auto" w:fill="FFFFFF"/>
        <w:spacing w:after="100" w:afterAutospacing="1" w:line="240" w:lineRule="auto"/>
        <w:jc w:val="both"/>
        <w:rPr>
          <w:rFonts w:eastAsia="Times New Roman" w:cs="Arial"/>
          <w:color w:val="000000"/>
          <w:lang w:eastAsia="en-NZ"/>
        </w:rPr>
      </w:pPr>
      <w:r w:rsidRPr="0025297D">
        <w:rPr>
          <w:rFonts w:eastAsia="Times New Roman" w:cs="Arial"/>
          <w:color w:val="000000"/>
          <w:lang w:eastAsia="en-NZ"/>
        </w:rPr>
        <w:t xml:space="preserve">Methanex’s highly skilled and diverse workforce in New Zealand includes approximately 250 employees with additional </w:t>
      </w:r>
      <w:r>
        <w:rPr>
          <w:rFonts w:eastAsia="Times New Roman" w:cs="Arial"/>
          <w:color w:val="000000"/>
          <w:lang w:eastAsia="en-NZ"/>
        </w:rPr>
        <w:t xml:space="preserve">support from local contractors. </w:t>
      </w:r>
      <w:r w:rsidRPr="0025297D">
        <w:rPr>
          <w:rFonts w:eastAsia="Times New Roman" w:cs="Arial"/>
          <w:color w:val="000000"/>
          <w:lang w:eastAsia="en-NZ"/>
        </w:rPr>
        <w:t>Methanex is an important contributor to the local and national economy. In 2013, an economic report prepared by Business and Economic Research Limited forecast that Methanex contributes NZD440 million to Taranaki's GDP and NZD650 million to New Zealand’s GDP annually at full production</w:t>
      </w:r>
      <w:r>
        <w:rPr>
          <w:rFonts w:eastAsia="Times New Roman" w:cs="Arial"/>
          <w:color w:val="000000"/>
          <w:lang w:eastAsia="en-NZ"/>
        </w:rPr>
        <w:t xml:space="preserve"> from its existing natural gas fed plants</w:t>
      </w:r>
      <w:r w:rsidRPr="0025297D">
        <w:rPr>
          <w:rFonts w:eastAsia="Times New Roman" w:cs="Arial"/>
          <w:color w:val="000000"/>
          <w:lang w:eastAsia="en-NZ"/>
        </w:rPr>
        <w:t>.</w:t>
      </w:r>
    </w:p>
    <w:p w:rsidR="00015EDA" w:rsidRDefault="00015EDA" w:rsidP="00015EDA">
      <w:pPr>
        <w:shd w:val="clear" w:color="auto" w:fill="FFFFFF"/>
        <w:spacing w:after="100" w:afterAutospacing="1" w:line="240" w:lineRule="auto"/>
        <w:jc w:val="both"/>
        <w:rPr>
          <w:rFonts w:eastAsia="Times New Roman" w:cs="Arial"/>
          <w:color w:val="000000"/>
          <w:lang w:eastAsia="en-NZ"/>
        </w:rPr>
      </w:pPr>
      <w:r>
        <w:rPr>
          <w:rFonts w:eastAsia="Times New Roman" w:cs="Arial"/>
          <w:color w:val="000000"/>
          <w:lang w:eastAsia="en-NZ"/>
        </w:rPr>
        <w:t>Methanex</w:t>
      </w:r>
      <w:r w:rsidRPr="0025297D">
        <w:rPr>
          <w:rFonts w:eastAsia="Times New Roman" w:cs="Arial"/>
          <w:color w:val="000000"/>
          <w:lang w:eastAsia="en-NZ"/>
        </w:rPr>
        <w:t xml:space="preserve"> New Zealand</w:t>
      </w:r>
      <w:r>
        <w:rPr>
          <w:rFonts w:eastAsia="Times New Roman" w:cs="Arial"/>
          <w:color w:val="000000"/>
          <w:lang w:eastAsia="en-NZ"/>
        </w:rPr>
        <w:t>’s</w:t>
      </w:r>
      <w:r w:rsidRPr="0025297D">
        <w:rPr>
          <w:rFonts w:eastAsia="Times New Roman" w:cs="Arial"/>
          <w:color w:val="000000"/>
          <w:lang w:eastAsia="en-NZ"/>
        </w:rPr>
        <w:t xml:space="preserve"> team members are committed to the principles and ethics of Responsible Care, consistently exceeding the requirements laid out by local and central government. </w:t>
      </w:r>
      <w:sdt>
        <w:sdtPr>
          <w:rPr>
            <w:rFonts w:eastAsia="Times New Roman" w:cs="Arial"/>
            <w:color w:val="000000"/>
            <w:lang w:eastAsia="en-NZ"/>
          </w:rPr>
          <w:id w:val="1992905198"/>
          <w:citation/>
        </w:sdtPr>
        <w:sdtEndPr/>
        <w:sdtContent>
          <w:r>
            <w:rPr>
              <w:rFonts w:eastAsia="Times New Roman" w:cs="Arial"/>
              <w:color w:val="000000"/>
              <w:lang w:eastAsia="en-NZ"/>
            </w:rPr>
            <w:fldChar w:fldCharType="begin"/>
          </w:r>
          <w:r>
            <w:rPr>
              <w:rFonts w:eastAsia="Times New Roman" w:cs="Arial"/>
              <w:color w:val="000000"/>
              <w:lang w:eastAsia="en-NZ"/>
            </w:rPr>
            <w:instrText xml:space="preserve"> CITATION Met16 \l 5129 </w:instrText>
          </w:r>
          <w:r>
            <w:rPr>
              <w:rFonts w:eastAsia="Times New Roman" w:cs="Arial"/>
              <w:color w:val="000000"/>
              <w:lang w:eastAsia="en-NZ"/>
            </w:rPr>
            <w:fldChar w:fldCharType="separate"/>
          </w:r>
          <w:r w:rsidR="006D26C9" w:rsidRPr="006D26C9">
            <w:rPr>
              <w:rFonts w:eastAsia="Times New Roman" w:cs="Arial"/>
              <w:noProof/>
              <w:color w:val="000000"/>
              <w:lang w:eastAsia="en-NZ"/>
            </w:rPr>
            <w:t>[1]</w:t>
          </w:r>
          <w:r>
            <w:rPr>
              <w:rFonts w:eastAsia="Times New Roman" w:cs="Arial"/>
              <w:color w:val="000000"/>
              <w:lang w:eastAsia="en-NZ"/>
            </w:rPr>
            <w:fldChar w:fldCharType="end"/>
          </w:r>
        </w:sdtContent>
      </w:sdt>
    </w:p>
    <w:p w:rsidR="00015EDA" w:rsidRPr="00DC2611" w:rsidRDefault="00015EDA" w:rsidP="00015EDA">
      <w:pPr>
        <w:jc w:val="both"/>
        <w:rPr>
          <w:rFonts w:eastAsia="Times New Roman" w:cs="Times New Roman"/>
          <w:lang w:eastAsia="en-NZ"/>
        </w:rPr>
      </w:pPr>
      <w:r w:rsidRPr="00DC2611">
        <w:rPr>
          <w:rFonts w:eastAsia="Times New Roman" w:cs="Times New Roman"/>
          <w:lang w:eastAsia="en-NZ"/>
        </w:rPr>
        <w:t>The New Zealand dairy farming sector is an obvious source of abundant biogas, which is composed of 60% methane and 40% carbon dioxide. It is the intention of this new company venture to exploit the business potential in this abundant source of eco-approved energy.</w:t>
      </w:r>
    </w:p>
    <w:p w:rsidR="00015EDA" w:rsidRPr="0025297D" w:rsidRDefault="00015EDA" w:rsidP="00015EDA">
      <w:pPr>
        <w:shd w:val="clear" w:color="auto" w:fill="FFFFFF"/>
        <w:spacing w:after="100" w:afterAutospacing="1" w:line="240" w:lineRule="auto"/>
        <w:jc w:val="both"/>
      </w:pPr>
    </w:p>
    <w:p w:rsidR="00015EDA" w:rsidRDefault="00015EDA" w:rsidP="00015EDA">
      <w:pPr>
        <w:pStyle w:val="Heading1"/>
      </w:pPr>
    </w:p>
    <w:p w:rsidR="00015EDA" w:rsidRDefault="00015EDA" w:rsidP="00015EDA">
      <w:pPr>
        <w:jc w:val="both"/>
      </w:pPr>
    </w:p>
    <w:p w:rsidR="00015EDA" w:rsidRDefault="00015EDA" w:rsidP="00015EDA">
      <w:pPr>
        <w:jc w:val="both"/>
      </w:pPr>
    </w:p>
    <w:p w:rsidR="00015EDA" w:rsidRDefault="00015EDA" w:rsidP="00015EDA">
      <w:pPr>
        <w:jc w:val="both"/>
      </w:pPr>
    </w:p>
    <w:p w:rsidR="00015EDA" w:rsidRDefault="00015EDA" w:rsidP="00015EDA">
      <w:pPr>
        <w:jc w:val="both"/>
      </w:pPr>
    </w:p>
    <w:p w:rsidR="00015EDA" w:rsidRDefault="00015EDA" w:rsidP="00015EDA">
      <w:pPr>
        <w:jc w:val="both"/>
      </w:pPr>
    </w:p>
    <w:p w:rsidR="00015EDA" w:rsidRDefault="00015EDA" w:rsidP="00015EDA">
      <w:pPr>
        <w:pStyle w:val="Heading1"/>
        <w:sectPr w:rsidR="00015ED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rsidR="00015EDA" w:rsidRDefault="00015EDA" w:rsidP="00015EDA">
      <w:pPr>
        <w:pStyle w:val="Heading1"/>
      </w:pPr>
      <w:bookmarkStart w:id="5" w:name="_Toc463540056"/>
      <w:r>
        <w:lastRenderedPageBreak/>
        <w:t>4. Risk Assessment</w:t>
      </w:r>
      <w:bookmarkEnd w:id="5"/>
    </w:p>
    <w:p w:rsidR="00015EDA" w:rsidRDefault="00015EDA" w:rsidP="00015EDA">
      <w:pPr>
        <w:pStyle w:val="Heading2"/>
        <w:ind w:firstLine="720"/>
      </w:pPr>
      <w:bookmarkStart w:id="6" w:name="_Toc463540057"/>
      <w:r>
        <w:t>4.1 Introduction</w:t>
      </w:r>
      <w:bookmarkEnd w:id="6"/>
    </w:p>
    <w:p w:rsidR="00015EDA" w:rsidRDefault="00015EDA" w:rsidP="00015EDA">
      <w:pPr>
        <w:pStyle w:val="NormalWeb"/>
        <w:spacing w:before="0" w:beforeAutospacing="0" w:after="160" w:afterAutospacing="0"/>
        <w:jc w:val="both"/>
      </w:pPr>
      <w:r>
        <w:rPr>
          <w:rFonts w:ascii="Calibri" w:hAnsi="Calibri"/>
          <w:color w:val="000000"/>
          <w:sz w:val="22"/>
          <w:szCs w:val="22"/>
        </w:rPr>
        <w:t>A detailed risk assessment was carried out on methanol production through on farm bio-processing. The assessment was undertaken to analyse the risks of the project undertaken by Methanex New Zealand Limited. Opportunities as well as threats to the venture where investigated. The risk assessment was carried out in full accordance to ISO31000:2009 “Risk Management – Principles.”</w:t>
      </w:r>
    </w:p>
    <w:p w:rsidR="00015EDA" w:rsidRPr="00DF20E5" w:rsidRDefault="00015EDA" w:rsidP="00015EDA">
      <w:pPr>
        <w:pStyle w:val="Heading2"/>
        <w:ind w:firstLine="720"/>
        <w:jc w:val="both"/>
      </w:pPr>
      <w:bookmarkStart w:id="7" w:name="_Toc463540058"/>
      <w:r>
        <w:t>4.</w:t>
      </w:r>
      <w:r w:rsidRPr="00DF20E5">
        <w:t>2 Scope</w:t>
      </w:r>
      <w:bookmarkEnd w:id="7"/>
    </w:p>
    <w:p w:rsidR="00015EDA" w:rsidRDefault="00015EDA" w:rsidP="00015EDA">
      <w:pPr>
        <w:pStyle w:val="NormalWeb"/>
        <w:spacing w:before="0" w:beforeAutospacing="0" w:after="160" w:afterAutospacing="0"/>
        <w:jc w:val="both"/>
      </w:pPr>
      <w:r>
        <w:rPr>
          <w:rFonts w:ascii="Calibri" w:hAnsi="Calibri"/>
          <w:color w:val="000000"/>
          <w:sz w:val="22"/>
          <w:szCs w:val="22"/>
        </w:rPr>
        <w:t>Six key areas where taken into consideration when undertaking the risk assessment. Each area has its own specific objective.</w:t>
      </w:r>
    </w:p>
    <w:tbl>
      <w:tblPr>
        <w:tblW w:w="0" w:type="auto"/>
        <w:tblCellMar>
          <w:top w:w="15" w:type="dxa"/>
          <w:left w:w="15" w:type="dxa"/>
          <w:bottom w:w="15" w:type="dxa"/>
          <w:right w:w="15" w:type="dxa"/>
        </w:tblCellMar>
        <w:tblLook w:val="04A0" w:firstRow="1" w:lastRow="0" w:firstColumn="1" w:lastColumn="0" w:noHBand="0" w:noVBand="1"/>
      </w:tblPr>
      <w:tblGrid>
        <w:gridCol w:w="1552"/>
        <w:gridCol w:w="7458"/>
      </w:tblGrid>
      <w:tr w:rsidR="00015EDA" w:rsidTr="00015ED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Default="00015EDA" w:rsidP="00015EDA">
            <w:pPr>
              <w:pStyle w:val="NormalWeb"/>
              <w:spacing w:before="0" w:beforeAutospacing="0" w:after="0" w:afterAutospacing="0"/>
            </w:pPr>
            <w:r>
              <w:rPr>
                <w:rFonts w:ascii="Calibri" w:hAnsi="Calibri"/>
                <w:color w:val="000000"/>
                <w:sz w:val="22"/>
                <w:szCs w:val="22"/>
              </w:rPr>
              <w:t>Key Area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Default="00015EDA" w:rsidP="00015EDA">
            <w:pPr>
              <w:pStyle w:val="NormalWeb"/>
              <w:spacing w:before="0" w:beforeAutospacing="0" w:after="0" w:afterAutospacing="0"/>
            </w:pPr>
            <w:r>
              <w:rPr>
                <w:rFonts w:ascii="Calibri" w:hAnsi="Calibri"/>
                <w:color w:val="000000"/>
                <w:sz w:val="22"/>
                <w:szCs w:val="22"/>
              </w:rPr>
              <w:t>Objective</w:t>
            </w:r>
          </w:p>
        </w:tc>
      </w:tr>
      <w:tr w:rsidR="00015EDA" w:rsidTr="00015ED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Default="00015EDA" w:rsidP="00015EDA">
            <w:pPr>
              <w:pStyle w:val="NormalWeb"/>
              <w:spacing w:before="0" w:beforeAutospacing="0" w:after="0" w:afterAutospacing="0"/>
            </w:pPr>
            <w:r>
              <w:rPr>
                <w:rFonts w:ascii="Calibri" w:hAnsi="Calibri"/>
                <w:color w:val="000000"/>
                <w:sz w:val="22"/>
                <w:szCs w:val="22"/>
              </w:rPr>
              <w:t>Political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Default="00015EDA" w:rsidP="00015EDA">
            <w:pPr>
              <w:pStyle w:val="NormalWeb"/>
              <w:spacing w:before="0" w:beforeAutospacing="0" w:after="0" w:afterAutospacing="0"/>
            </w:pPr>
            <w:r>
              <w:rPr>
                <w:rFonts w:ascii="Calibri" w:hAnsi="Calibri"/>
                <w:color w:val="000000"/>
                <w:sz w:val="22"/>
                <w:szCs w:val="22"/>
              </w:rPr>
              <w:t>Gain political support on a regional and national level for the project in the form of publicity or money.</w:t>
            </w:r>
          </w:p>
        </w:tc>
      </w:tr>
      <w:tr w:rsidR="00015EDA" w:rsidTr="00015ED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Default="00015EDA" w:rsidP="00015EDA">
            <w:pPr>
              <w:pStyle w:val="NormalWeb"/>
              <w:spacing w:before="0" w:beforeAutospacing="0" w:after="0" w:afterAutospacing="0"/>
            </w:pPr>
            <w:r>
              <w:rPr>
                <w:rFonts w:ascii="Calibri" w:hAnsi="Calibri"/>
                <w:color w:val="000000"/>
                <w:sz w:val="22"/>
                <w:szCs w:val="22"/>
              </w:rPr>
              <w:t>Economical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Default="00015EDA" w:rsidP="00015EDA">
            <w:pPr>
              <w:pStyle w:val="NormalWeb"/>
              <w:spacing w:before="0" w:beforeAutospacing="0" w:after="0" w:afterAutospacing="0"/>
            </w:pPr>
            <w:r>
              <w:rPr>
                <w:rFonts w:ascii="Calibri" w:hAnsi="Calibri"/>
                <w:color w:val="000000"/>
                <w:sz w:val="22"/>
                <w:szCs w:val="22"/>
              </w:rPr>
              <w:t>Minimise manufacturing and distribution costs, as well as ensuring the financial wellbeing of the project is safeguarded.</w:t>
            </w:r>
          </w:p>
        </w:tc>
      </w:tr>
      <w:tr w:rsidR="00015EDA" w:rsidTr="00015ED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Default="00015EDA" w:rsidP="00015EDA">
            <w:pPr>
              <w:pStyle w:val="NormalWeb"/>
              <w:spacing w:before="0" w:beforeAutospacing="0" w:after="0" w:afterAutospacing="0"/>
            </w:pPr>
            <w:r>
              <w:rPr>
                <w:rFonts w:ascii="Calibri" w:hAnsi="Calibri"/>
                <w:color w:val="000000"/>
                <w:sz w:val="22"/>
                <w:szCs w:val="22"/>
              </w:rPr>
              <w:t>Social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Default="00015EDA" w:rsidP="00015EDA">
            <w:pPr>
              <w:pStyle w:val="NormalWeb"/>
              <w:spacing w:before="0" w:beforeAutospacing="0" w:after="0" w:afterAutospacing="0"/>
            </w:pPr>
            <w:r>
              <w:rPr>
                <w:rFonts w:ascii="Calibri" w:hAnsi="Calibri"/>
                <w:color w:val="000000"/>
                <w:sz w:val="22"/>
                <w:szCs w:val="22"/>
              </w:rPr>
              <w:t xml:space="preserve">Ensure that in all aspects of the venture the effects on local communities are considered. </w:t>
            </w:r>
          </w:p>
        </w:tc>
      </w:tr>
      <w:tr w:rsidR="00015EDA" w:rsidTr="00015ED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Default="00015EDA" w:rsidP="00015EDA">
            <w:pPr>
              <w:pStyle w:val="NormalWeb"/>
              <w:spacing w:before="0" w:beforeAutospacing="0" w:after="0" w:afterAutospacing="0"/>
            </w:pPr>
            <w:r>
              <w:rPr>
                <w:rFonts w:ascii="Calibri" w:hAnsi="Calibri"/>
                <w:color w:val="000000"/>
                <w:sz w:val="22"/>
                <w:szCs w:val="22"/>
              </w:rPr>
              <w:t>Technological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Default="00015EDA" w:rsidP="00015EDA">
            <w:pPr>
              <w:pStyle w:val="NormalWeb"/>
              <w:spacing w:before="0" w:beforeAutospacing="0" w:after="0" w:afterAutospacing="0"/>
            </w:pPr>
            <w:r>
              <w:rPr>
                <w:rFonts w:ascii="Calibri" w:hAnsi="Calibri"/>
                <w:color w:val="000000"/>
                <w:sz w:val="22"/>
                <w:szCs w:val="22"/>
              </w:rPr>
              <w:t>Ensure that the product is durable, of a high standard and does what it was designed to do.</w:t>
            </w:r>
          </w:p>
        </w:tc>
      </w:tr>
      <w:tr w:rsidR="00015EDA" w:rsidTr="00015ED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Default="00015EDA" w:rsidP="00015EDA">
            <w:pPr>
              <w:pStyle w:val="NormalWeb"/>
              <w:spacing w:before="0" w:beforeAutospacing="0" w:after="0" w:afterAutospacing="0"/>
            </w:pPr>
            <w:r>
              <w:rPr>
                <w:rFonts w:ascii="Calibri" w:hAnsi="Calibri"/>
                <w:color w:val="000000"/>
                <w:sz w:val="22"/>
                <w:szCs w:val="22"/>
              </w:rPr>
              <w:t>Environmental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Default="00015EDA" w:rsidP="00015EDA">
            <w:pPr>
              <w:pStyle w:val="NormalWeb"/>
              <w:spacing w:before="0" w:beforeAutospacing="0" w:after="0" w:afterAutospacing="0"/>
            </w:pPr>
            <w:r>
              <w:rPr>
                <w:rFonts w:ascii="Calibri" w:hAnsi="Calibri"/>
                <w:color w:val="000000"/>
                <w:sz w:val="22"/>
                <w:szCs w:val="22"/>
              </w:rPr>
              <w:t>Minimise harm to the environment and comply with all the relevant sections of the Resource Management Act (RMA, 1991).</w:t>
            </w:r>
          </w:p>
        </w:tc>
      </w:tr>
      <w:tr w:rsidR="00015EDA" w:rsidTr="00015ED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Default="00015EDA" w:rsidP="00015EDA">
            <w:pPr>
              <w:pStyle w:val="NormalWeb"/>
              <w:spacing w:before="0" w:beforeAutospacing="0" w:after="0" w:afterAutospacing="0"/>
            </w:pPr>
            <w:r>
              <w:rPr>
                <w:rFonts w:ascii="Calibri" w:hAnsi="Calibri"/>
                <w:color w:val="000000"/>
                <w:sz w:val="22"/>
                <w:szCs w:val="22"/>
              </w:rPr>
              <w:t>Legal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Default="00015EDA" w:rsidP="00015EDA">
            <w:pPr>
              <w:pStyle w:val="NormalWeb"/>
              <w:spacing w:before="0" w:beforeAutospacing="0" w:after="0" w:afterAutospacing="0"/>
            </w:pPr>
            <w:r>
              <w:rPr>
                <w:rFonts w:ascii="Calibri" w:hAnsi="Calibri"/>
                <w:color w:val="000000"/>
                <w:sz w:val="22"/>
                <w:szCs w:val="22"/>
              </w:rPr>
              <w:t>To comply with all relevant laws in New Zealand and to reduce product liability as much as possible to create a device that can easily insured.</w:t>
            </w:r>
          </w:p>
        </w:tc>
      </w:tr>
    </w:tbl>
    <w:p w:rsidR="00015EDA" w:rsidRPr="00DF20E5" w:rsidRDefault="00015EDA" w:rsidP="00015EDA">
      <w:pPr>
        <w:pStyle w:val="Heading2"/>
        <w:ind w:firstLine="720"/>
      </w:pPr>
      <w:bookmarkStart w:id="8" w:name="_Toc463540059"/>
      <w:r>
        <w:t xml:space="preserve">4.3 </w:t>
      </w:r>
      <w:r w:rsidRPr="00DF20E5">
        <w:t>Analysis</w:t>
      </w:r>
      <w:bookmarkEnd w:id="8"/>
    </w:p>
    <w:p w:rsidR="00015EDA" w:rsidRDefault="00015EDA" w:rsidP="00015EDA">
      <w:pPr>
        <w:pStyle w:val="NormalWeb"/>
        <w:spacing w:before="0" w:beforeAutospacing="0" w:after="160" w:afterAutospacing="0"/>
      </w:pPr>
      <w:r>
        <w:rPr>
          <w:rFonts w:ascii="Calibri" w:hAnsi="Calibri"/>
          <w:color w:val="000000"/>
          <w:sz w:val="22"/>
          <w:szCs w:val="22"/>
        </w:rPr>
        <w:t>Each risk was analysed and given an assessed risk level and placed on the risk map. The full results of the risk analysis can be found below.</w:t>
      </w:r>
    </w:p>
    <w:p w:rsidR="00015EDA" w:rsidRDefault="00015EDA" w:rsidP="00015EDA">
      <w:pPr>
        <w:pStyle w:val="Heading2"/>
      </w:pPr>
      <w:r>
        <w:tab/>
      </w:r>
      <w:bookmarkStart w:id="9" w:name="_Toc463540060"/>
      <w:r>
        <w:t>4.4 Risk table</w:t>
      </w:r>
      <w:bookmarkEnd w:id="9"/>
    </w:p>
    <w:p w:rsidR="00015EDA" w:rsidRPr="00FD7728" w:rsidRDefault="00015EDA" w:rsidP="00015EDA"/>
    <w:p w:rsidR="00015EDA" w:rsidRDefault="00015EDA" w:rsidP="00015EDA"/>
    <w:tbl>
      <w:tblPr>
        <w:tblpPr w:leftFromText="180" w:rightFromText="180" w:vertAnchor="text" w:horzAnchor="margin" w:tblpXSpec="center" w:tblpY="-519"/>
        <w:tblW w:w="6763"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719"/>
        <w:gridCol w:w="1130"/>
        <w:gridCol w:w="1130"/>
        <w:gridCol w:w="3784"/>
      </w:tblGrid>
      <w:tr w:rsidR="00015EDA" w:rsidRPr="00965629" w:rsidTr="00015EDA">
        <w:trPr>
          <w:trHeight w:val="285"/>
        </w:trPr>
        <w:tc>
          <w:tcPr>
            <w:tcW w:w="0" w:type="auto"/>
            <w:tcBorders>
              <w:top w:val="single" w:sz="12" w:space="0" w:color="000000"/>
              <w:left w:val="single" w:sz="12" w:space="0" w:color="000000"/>
              <w:bottom w:val="single" w:sz="12" w:space="0" w:color="000000"/>
              <w:right w:val="single" w:sz="12" w:space="0" w:color="000000"/>
            </w:tcBorders>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b/>
                <w:bCs/>
                <w:color w:val="000000"/>
                <w:sz w:val="14"/>
                <w:szCs w:val="14"/>
                <w:lang w:eastAsia="en-NZ"/>
              </w:rPr>
            </w:pPr>
            <w:r w:rsidRPr="00053467">
              <w:rPr>
                <w:rFonts w:ascii="Calibri" w:eastAsia="Times New Roman" w:hAnsi="Calibri" w:cs="Times New Roman"/>
                <w:b/>
                <w:bCs/>
                <w:color w:val="000000"/>
                <w:sz w:val="14"/>
                <w:szCs w:val="14"/>
                <w:lang w:eastAsia="en-NZ"/>
              </w:rPr>
              <w:t>Colour Key</w:t>
            </w:r>
          </w:p>
        </w:tc>
        <w:tc>
          <w:tcPr>
            <w:tcW w:w="0" w:type="auto"/>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b/>
                <w:bCs/>
                <w:color w:val="000000"/>
                <w:sz w:val="14"/>
                <w:szCs w:val="14"/>
                <w:lang w:eastAsia="en-NZ"/>
              </w:rPr>
            </w:pPr>
            <w:r w:rsidRPr="00053467">
              <w:rPr>
                <w:rFonts w:ascii="Calibri" w:eastAsia="Times New Roman" w:hAnsi="Calibri" w:cs="Times New Roman"/>
                <w:b/>
                <w:bCs/>
                <w:color w:val="000000"/>
                <w:sz w:val="14"/>
                <w:szCs w:val="14"/>
                <w:lang w:eastAsia="en-NZ"/>
              </w:rPr>
              <w:t>Risk, Threat or Opportunity</w:t>
            </w:r>
          </w:p>
        </w:tc>
        <w:tc>
          <w:tcPr>
            <w:tcW w:w="0" w:type="auto"/>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b/>
                <w:bCs/>
                <w:color w:val="000000"/>
                <w:sz w:val="14"/>
                <w:szCs w:val="14"/>
                <w:lang w:eastAsia="en-NZ"/>
              </w:rPr>
            </w:pPr>
            <w:r w:rsidRPr="00053467">
              <w:rPr>
                <w:rFonts w:ascii="Calibri" w:eastAsia="Times New Roman" w:hAnsi="Calibri" w:cs="Times New Roman"/>
                <w:b/>
                <w:bCs/>
                <w:color w:val="000000"/>
                <w:sz w:val="14"/>
                <w:szCs w:val="14"/>
                <w:lang w:eastAsia="en-NZ"/>
              </w:rPr>
              <w:t xml:space="preserve">Who should be </w:t>
            </w:r>
            <w:r w:rsidRPr="00965629">
              <w:rPr>
                <w:rFonts w:ascii="Calibri" w:eastAsia="Times New Roman" w:hAnsi="Calibri" w:cs="Times New Roman"/>
                <w:b/>
                <w:bCs/>
                <w:color w:val="000000"/>
                <w:sz w:val="14"/>
                <w:szCs w:val="14"/>
                <w:lang w:eastAsia="en-NZ"/>
              </w:rPr>
              <w:t>informed?</w:t>
            </w:r>
          </w:p>
        </w:tc>
        <w:tc>
          <w:tcPr>
            <w:tcW w:w="0" w:type="auto"/>
            <w:tcBorders>
              <w:top w:val="single" w:sz="12" w:space="0" w:color="000000"/>
              <w:left w:val="single" w:sz="6" w:space="0" w:color="CCCCCC"/>
              <w:bottom w:val="single" w:sz="12" w:space="0" w:color="000000"/>
              <w:right w:val="single" w:sz="12" w:space="0" w:color="000000"/>
            </w:tcBorders>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b/>
                <w:bCs/>
                <w:color w:val="000000"/>
                <w:sz w:val="14"/>
                <w:szCs w:val="14"/>
                <w:lang w:eastAsia="en-NZ"/>
              </w:rPr>
            </w:pPr>
            <w:r w:rsidRPr="00053467">
              <w:rPr>
                <w:rFonts w:ascii="Calibri" w:eastAsia="Times New Roman" w:hAnsi="Calibri" w:cs="Times New Roman"/>
                <w:b/>
                <w:bCs/>
                <w:color w:val="000000"/>
                <w:sz w:val="14"/>
                <w:szCs w:val="14"/>
                <w:lang w:eastAsia="en-NZ"/>
              </w:rPr>
              <w:t>Action Required</w:t>
            </w:r>
          </w:p>
        </w:tc>
      </w:tr>
      <w:tr w:rsidR="00015EDA" w:rsidRPr="00965629" w:rsidTr="00015EDA">
        <w:trPr>
          <w:trHeight w:val="700"/>
        </w:trPr>
        <w:tc>
          <w:tcPr>
            <w:tcW w:w="0" w:type="auto"/>
            <w:tcBorders>
              <w:top w:val="single" w:sz="6" w:space="0" w:color="CCCCCC"/>
              <w:left w:val="single" w:sz="12" w:space="0" w:color="000000"/>
              <w:bottom w:val="single" w:sz="6" w:space="0" w:color="000000"/>
              <w:right w:val="single" w:sz="12" w:space="0" w:color="000000"/>
            </w:tcBorders>
            <w:shd w:val="clear" w:color="auto" w:fill="FF0000"/>
            <w:tcMar>
              <w:top w:w="0" w:type="dxa"/>
              <w:left w:w="45" w:type="dxa"/>
              <w:bottom w:w="0" w:type="dxa"/>
              <w:right w:w="45" w:type="dxa"/>
            </w:tcMar>
            <w:vAlign w:val="bottom"/>
            <w:hideMark/>
          </w:tcPr>
          <w:p w:rsidR="00015EDA" w:rsidRPr="00053467" w:rsidRDefault="00015EDA" w:rsidP="00015EDA">
            <w:pPr>
              <w:spacing w:after="0" w:line="240" w:lineRule="auto"/>
              <w:jc w:val="center"/>
              <w:rPr>
                <w:rFonts w:ascii="Calibri" w:eastAsia="Times New Roman" w:hAnsi="Calibri" w:cs="Times New Roman"/>
                <w:b/>
                <w:bCs/>
                <w:color w:val="000000"/>
                <w:sz w:val="14"/>
                <w:szCs w:val="14"/>
                <w:lang w:eastAsia="en-NZ"/>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r w:rsidRPr="00053467">
              <w:rPr>
                <w:rFonts w:ascii="Calibri" w:eastAsia="Times New Roman" w:hAnsi="Calibri" w:cs="Times New Roman"/>
                <w:color w:val="000000"/>
                <w:sz w:val="14"/>
                <w:szCs w:val="14"/>
                <w:lang w:eastAsia="en-NZ"/>
              </w:rPr>
              <w:t>High Risk Loss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r w:rsidRPr="00053467">
              <w:rPr>
                <w:rFonts w:ascii="Calibri" w:eastAsia="Times New Roman" w:hAnsi="Calibri" w:cs="Times New Roman"/>
                <w:color w:val="000000"/>
                <w:sz w:val="14"/>
                <w:szCs w:val="14"/>
                <w:lang w:eastAsia="en-NZ"/>
              </w:rPr>
              <w:t>Directors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r w:rsidRPr="00053467">
              <w:rPr>
                <w:rFonts w:ascii="Calibri" w:eastAsia="Times New Roman" w:hAnsi="Calibri" w:cs="Times New Roman"/>
                <w:color w:val="000000"/>
                <w:sz w:val="14"/>
                <w:szCs w:val="14"/>
                <w:lang w:eastAsia="en-NZ"/>
              </w:rPr>
              <w:t>Requires senior management to design deliberate treatment action plans and specified responsibility.</w:t>
            </w:r>
          </w:p>
        </w:tc>
      </w:tr>
      <w:tr w:rsidR="00015EDA" w:rsidRPr="00965629" w:rsidTr="00015EDA">
        <w:trPr>
          <w:trHeight w:val="842"/>
        </w:trPr>
        <w:tc>
          <w:tcPr>
            <w:tcW w:w="0" w:type="auto"/>
            <w:tcBorders>
              <w:top w:val="single" w:sz="6" w:space="0" w:color="CCCCCC"/>
              <w:left w:val="single" w:sz="12" w:space="0" w:color="000000"/>
              <w:bottom w:val="single" w:sz="6" w:space="0" w:color="000000"/>
              <w:right w:val="single" w:sz="12" w:space="0" w:color="000000"/>
            </w:tcBorders>
            <w:shd w:val="clear" w:color="auto" w:fill="FFC000"/>
            <w:tcMar>
              <w:top w:w="0" w:type="dxa"/>
              <w:left w:w="45" w:type="dxa"/>
              <w:bottom w:w="0" w:type="dxa"/>
              <w:right w:w="45" w:type="dxa"/>
            </w:tcMar>
            <w:vAlign w:val="bottom"/>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r w:rsidRPr="00053467">
              <w:rPr>
                <w:rFonts w:ascii="Calibri" w:eastAsia="Times New Roman" w:hAnsi="Calibri" w:cs="Times New Roman"/>
                <w:color w:val="000000"/>
                <w:sz w:val="14"/>
                <w:szCs w:val="14"/>
                <w:lang w:eastAsia="en-NZ"/>
              </w:rPr>
              <w:t>Medium Risk Loss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r w:rsidRPr="00053467">
              <w:rPr>
                <w:rFonts w:ascii="Calibri" w:eastAsia="Times New Roman" w:hAnsi="Calibri" w:cs="Times New Roman"/>
                <w:color w:val="000000"/>
                <w:sz w:val="14"/>
                <w:szCs w:val="14"/>
                <w:lang w:eastAsia="en-NZ"/>
              </w:rPr>
              <w:t>Top Management</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r w:rsidRPr="00053467">
              <w:rPr>
                <w:rFonts w:ascii="Calibri" w:eastAsia="Times New Roman" w:hAnsi="Calibri" w:cs="Times New Roman"/>
                <w:color w:val="000000"/>
                <w:sz w:val="14"/>
                <w:szCs w:val="14"/>
                <w:lang w:eastAsia="en-NZ"/>
              </w:rPr>
              <w:t xml:space="preserve">Attention of senior management needed to develop specific response or </w:t>
            </w:r>
            <w:r w:rsidRPr="00965629">
              <w:rPr>
                <w:rFonts w:ascii="Calibri" w:eastAsia="Times New Roman" w:hAnsi="Calibri" w:cs="Times New Roman"/>
                <w:color w:val="000000"/>
                <w:sz w:val="14"/>
                <w:szCs w:val="14"/>
                <w:lang w:eastAsia="en-NZ"/>
              </w:rPr>
              <w:t>monitoring</w:t>
            </w:r>
            <w:r w:rsidRPr="00053467">
              <w:rPr>
                <w:rFonts w:ascii="Calibri" w:eastAsia="Times New Roman" w:hAnsi="Calibri" w:cs="Times New Roman"/>
                <w:color w:val="000000"/>
                <w:sz w:val="14"/>
                <w:szCs w:val="14"/>
                <w:lang w:eastAsia="en-NZ"/>
              </w:rPr>
              <w:t xml:space="preserve"> procedure , and the specification of </w:t>
            </w:r>
            <w:r w:rsidRPr="00965629">
              <w:rPr>
                <w:rFonts w:ascii="Calibri" w:eastAsia="Times New Roman" w:hAnsi="Calibri" w:cs="Times New Roman"/>
                <w:color w:val="000000"/>
                <w:sz w:val="14"/>
                <w:szCs w:val="14"/>
                <w:lang w:eastAsia="en-NZ"/>
              </w:rPr>
              <w:t>management</w:t>
            </w:r>
            <w:r w:rsidRPr="00053467">
              <w:rPr>
                <w:rFonts w:ascii="Calibri" w:eastAsia="Times New Roman" w:hAnsi="Calibri" w:cs="Times New Roman"/>
                <w:color w:val="000000"/>
                <w:sz w:val="14"/>
                <w:szCs w:val="14"/>
                <w:lang w:eastAsia="en-NZ"/>
              </w:rPr>
              <w:t xml:space="preserve"> responsibility</w:t>
            </w:r>
          </w:p>
        </w:tc>
      </w:tr>
      <w:tr w:rsidR="00015EDA" w:rsidRPr="00965629" w:rsidTr="00015EDA">
        <w:trPr>
          <w:trHeight w:val="420"/>
        </w:trPr>
        <w:tc>
          <w:tcPr>
            <w:tcW w:w="0" w:type="auto"/>
            <w:tcBorders>
              <w:top w:val="single" w:sz="6" w:space="0" w:color="CCCCCC"/>
              <w:left w:val="single" w:sz="12" w:space="0" w:color="000000"/>
              <w:bottom w:val="single" w:sz="6" w:space="0" w:color="000000"/>
              <w:right w:val="single" w:sz="12" w:space="0" w:color="000000"/>
            </w:tcBorders>
            <w:shd w:val="clear" w:color="auto" w:fill="FFFF00"/>
            <w:tcMar>
              <w:top w:w="0" w:type="dxa"/>
              <w:left w:w="45" w:type="dxa"/>
              <w:bottom w:w="0" w:type="dxa"/>
              <w:right w:w="45" w:type="dxa"/>
            </w:tcMar>
            <w:vAlign w:val="bottom"/>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r w:rsidRPr="00053467">
              <w:rPr>
                <w:rFonts w:ascii="Calibri" w:eastAsia="Times New Roman" w:hAnsi="Calibri" w:cs="Times New Roman"/>
                <w:color w:val="000000"/>
                <w:sz w:val="14"/>
                <w:szCs w:val="14"/>
                <w:lang w:eastAsia="en-NZ"/>
              </w:rPr>
              <w:t>Low Risk Loss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r w:rsidRPr="00053467">
              <w:rPr>
                <w:rFonts w:ascii="Calibri" w:eastAsia="Times New Roman" w:hAnsi="Calibri" w:cs="Times New Roman"/>
                <w:color w:val="000000"/>
                <w:sz w:val="14"/>
                <w:szCs w:val="14"/>
                <w:lang w:eastAsia="en-NZ"/>
              </w:rPr>
              <w:t>Immediate supervisor</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r w:rsidRPr="00053467">
              <w:rPr>
                <w:rFonts w:ascii="Calibri" w:eastAsia="Times New Roman" w:hAnsi="Calibri" w:cs="Times New Roman"/>
                <w:color w:val="000000"/>
                <w:sz w:val="14"/>
                <w:szCs w:val="14"/>
                <w:lang w:eastAsia="en-NZ"/>
              </w:rPr>
              <w:t>Manage with routine procedures, no specific extra resources required</w:t>
            </w:r>
          </w:p>
        </w:tc>
      </w:tr>
      <w:tr w:rsidR="00015EDA" w:rsidRPr="00965629" w:rsidTr="00015EDA">
        <w:trPr>
          <w:trHeight w:val="420"/>
        </w:trPr>
        <w:tc>
          <w:tcPr>
            <w:tcW w:w="0" w:type="auto"/>
            <w:tcBorders>
              <w:top w:val="single" w:sz="6" w:space="0" w:color="CCCCCC"/>
              <w:left w:val="single" w:sz="12" w:space="0" w:color="000000"/>
              <w:bottom w:val="single" w:sz="6" w:space="0" w:color="000000"/>
              <w:right w:val="single" w:sz="12" w:space="0" w:color="000000"/>
            </w:tcBorders>
            <w:shd w:val="clear" w:color="auto" w:fill="00B050"/>
            <w:tcMar>
              <w:top w:w="0" w:type="dxa"/>
              <w:left w:w="45" w:type="dxa"/>
              <w:bottom w:w="0" w:type="dxa"/>
              <w:right w:w="45" w:type="dxa"/>
            </w:tcMar>
            <w:vAlign w:val="bottom"/>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r w:rsidRPr="00965629">
              <w:rPr>
                <w:rFonts w:ascii="Calibri" w:eastAsia="Times New Roman" w:hAnsi="Calibri" w:cs="Times New Roman"/>
                <w:color w:val="000000"/>
                <w:sz w:val="14"/>
                <w:szCs w:val="14"/>
                <w:lang w:eastAsia="en-NZ"/>
              </w:rPr>
              <w:t>Negligible</w:t>
            </w:r>
            <w:r w:rsidRPr="00053467">
              <w:rPr>
                <w:rFonts w:ascii="Calibri" w:eastAsia="Times New Roman" w:hAnsi="Calibri" w:cs="Times New Roman"/>
                <w:color w:val="000000"/>
                <w:sz w:val="14"/>
                <w:szCs w:val="14"/>
                <w:lang w:eastAsia="en-NZ"/>
              </w:rPr>
              <w:t xml:space="preserve"> Risk or Gain</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r w:rsidRPr="00053467">
              <w:rPr>
                <w:rFonts w:ascii="Calibri" w:eastAsia="Times New Roman" w:hAnsi="Calibri" w:cs="Times New Roman"/>
                <w:color w:val="000000"/>
                <w:sz w:val="14"/>
                <w:szCs w:val="14"/>
                <w:lang w:eastAsia="en-NZ"/>
              </w:rPr>
              <w:t>Work Team</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r w:rsidRPr="00965629">
              <w:rPr>
                <w:rFonts w:ascii="Calibri" w:eastAsia="Times New Roman" w:hAnsi="Calibri" w:cs="Times New Roman"/>
                <w:color w:val="000000"/>
                <w:sz w:val="14"/>
                <w:szCs w:val="14"/>
                <w:lang w:eastAsia="en-NZ"/>
              </w:rPr>
              <w:t>Business</w:t>
            </w:r>
            <w:r w:rsidRPr="00053467">
              <w:rPr>
                <w:rFonts w:ascii="Calibri" w:eastAsia="Times New Roman" w:hAnsi="Calibri" w:cs="Times New Roman"/>
                <w:color w:val="000000"/>
                <w:sz w:val="14"/>
                <w:szCs w:val="14"/>
                <w:lang w:eastAsia="en-NZ"/>
              </w:rPr>
              <w:t xml:space="preserve"> as usual. Manage with routine </w:t>
            </w:r>
            <w:r w:rsidRPr="00965629">
              <w:rPr>
                <w:rFonts w:ascii="Calibri" w:eastAsia="Times New Roman" w:hAnsi="Calibri" w:cs="Times New Roman"/>
                <w:color w:val="000000"/>
                <w:sz w:val="14"/>
                <w:szCs w:val="14"/>
                <w:lang w:eastAsia="en-NZ"/>
              </w:rPr>
              <w:t>procedures</w:t>
            </w:r>
            <w:r w:rsidRPr="00053467">
              <w:rPr>
                <w:rFonts w:ascii="Calibri" w:eastAsia="Times New Roman" w:hAnsi="Calibri" w:cs="Times New Roman"/>
                <w:color w:val="000000"/>
                <w:sz w:val="14"/>
                <w:szCs w:val="14"/>
                <w:lang w:eastAsia="en-NZ"/>
              </w:rPr>
              <w:t xml:space="preserve"> and </w:t>
            </w:r>
            <w:r w:rsidRPr="00965629">
              <w:rPr>
                <w:rFonts w:ascii="Calibri" w:eastAsia="Times New Roman" w:hAnsi="Calibri" w:cs="Times New Roman"/>
                <w:color w:val="000000"/>
                <w:sz w:val="14"/>
                <w:szCs w:val="14"/>
                <w:lang w:eastAsia="en-NZ"/>
              </w:rPr>
              <w:t>general</w:t>
            </w:r>
            <w:r w:rsidRPr="00053467">
              <w:rPr>
                <w:rFonts w:ascii="Calibri" w:eastAsia="Times New Roman" w:hAnsi="Calibri" w:cs="Times New Roman"/>
                <w:color w:val="000000"/>
                <w:sz w:val="14"/>
                <w:szCs w:val="14"/>
                <w:lang w:eastAsia="en-NZ"/>
              </w:rPr>
              <w:t xml:space="preserve"> </w:t>
            </w:r>
            <w:r w:rsidRPr="00965629">
              <w:rPr>
                <w:rFonts w:ascii="Calibri" w:eastAsia="Times New Roman" w:hAnsi="Calibri" w:cs="Times New Roman"/>
                <w:color w:val="000000"/>
                <w:sz w:val="14"/>
                <w:szCs w:val="14"/>
                <w:lang w:eastAsia="en-NZ"/>
              </w:rPr>
              <w:t>monitoring</w:t>
            </w:r>
          </w:p>
        </w:tc>
      </w:tr>
      <w:tr w:rsidR="00015EDA" w:rsidRPr="00965629" w:rsidTr="00015EDA">
        <w:trPr>
          <w:trHeight w:val="420"/>
        </w:trPr>
        <w:tc>
          <w:tcPr>
            <w:tcW w:w="0" w:type="auto"/>
            <w:tcBorders>
              <w:top w:val="single" w:sz="6" w:space="0" w:color="CCCCCC"/>
              <w:left w:val="single" w:sz="12" w:space="0" w:color="000000"/>
              <w:bottom w:val="single" w:sz="6" w:space="0" w:color="000000"/>
              <w:right w:val="single" w:sz="12" w:space="0" w:color="000000"/>
            </w:tcBorders>
            <w:shd w:val="clear" w:color="auto" w:fill="00B0F0"/>
            <w:tcMar>
              <w:top w:w="0" w:type="dxa"/>
              <w:left w:w="45" w:type="dxa"/>
              <w:bottom w:w="0" w:type="dxa"/>
              <w:right w:w="45" w:type="dxa"/>
            </w:tcMar>
            <w:vAlign w:val="bottom"/>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r w:rsidRPr="00053467">
              <w:rPr>
                <w:rFonts w:ascii="Calibri" w:eastAsia="Times New Roman" w:hAnsi="Calibri" w:cs="Times New Roman"/>
                <w:color w:val="000000"/>
                <w:sz w:val="14"/>
                <w:szCs w:val="14"/>
                <w:lang w:eastAsia="en-NZ"/>
              </w:rPr>
              <w:t>Low Opportunity</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r w:rsidRPr="00053467">
              <w:rPr>
                <w:rFonts w:ascii="Calibri" w:eastAsia="Times New Roman" w:hAnsi="Calibri" w:cs="Times New Roman"/>
                <w:color w:val="000000"/>
                <w:sz w:val="14"/>
                <w:szCs w:val="14"/>
                <w:lang w:eastAsia="en-NZ"/>
              </w:rPr>
              <w:t>Immediate Supervisor</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r w:rsidRPr="00053467">
              <w:rPr>
                <w:rFonts w:ascii="Calibri" w:eastAsia="Times New Roman" w:hAnsi="Calibri" w:cs="Times New Roman"/>
                <w:color w:val="000000"/>
                <w:sz w:val="14"/>
                <w:szCs w:val="14"/>
                <w:lang w:eastAsia="en-NZ"/>
              </w:rPr>
              <w:t xml:space="preserve">Manage with routine procedures or specific monitoring </w:t>
            </w:r>
          </w:p>
        </w:tc>
      </w:tr>
      <w:tr w:rsidR="00015EDA" w:rsidRPr="00965629" w:rsidTr="00015EDA">
        <w:trPr>
          <w:trHeight w:val="560"/>
        </w:trPr>
        <w:tc>
          <w:tcPr>
            <w:tcW w:w="0" w:type="auto"/>
            <w:tcBorders>
              <w:top w:val="single" w:sz="6" w:space="0" w:color="CCCCCC"/>
              <w:left w:val="single" w:sz="12" w:space="0" w:color="000000"/>
              <w:bottom w:val="single" w:sz="6" w:space="0" w:color="000000"/>
              <w:right w:val="single" w:sz="12" w:space="0" w:color="000000"/>
            </w:tcBorders>
            <w:shd w:val="clear" w:color="auto" w:fill="0070C0"/>
            <w:tcMar>
              <w:top w:w="0" w:type="dxa"/>
              <w:left w:w="45" w:type="dxa"/>
              <w:bottom w:w="0" w:type="dxa"/>
              <w:right w:w="45" w:type="dxa"/>
            </w:tcMar>
            <w:vAlign w:val="bottom"/>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r w:rsidRPr="00053467">
              <w:rPr>
                <w:rFonts w:ascii="Calibri" w:eastAsia="Times New Roman" w:hAnsi="Calibri" w:cs="Times New Roman"/>
                <w:color w:val="000000"/>
                <w:sz w:val="14"/>
                <w:szCs w:val="14"/>
                <w:lang w:eastAsia="en-NZ"/>
              </w:rPr>
              <w:t>Medium Opportunity</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r w:rsidRPr="00053467">
              <w:rPr>
                <w:rFonts w:ascii="Calibri" w:eastAsia="Times New Roman" w:hAnsi="Calibri" w:cs="Times New Roman"/>
                <w:color w:val="000000"/>
                <w:sz w:val="14"/>
                <w:szCs w:val="14"/>
                <w:lang w:eastAsia="en-NZ"/>
              </w:rPr>
              <w:t>Top Management</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r w:rsidRPr="00053467">
              <w:rPr>
                <w:rFonts w:ascii="Calibri" w:eastAsia="Times New Roman" w:hAnsi="Calibri" w:cs="Times New Roman"/>
                <w:color w:val="000000"/>
                <w:sz w:val="14"/>
                <w:szCs w:val="14"/>
                <w:lang w:eastAsia="en-NZ"/>
              </w:rPr>
              <w:t xml:space="preserve">Attention of senior management needed </w:t>
            </w:r>
            <w:r w:rsidRPr="00965629">
              <w:rPr>
                <w:rFonts w:ascii="Calibri" w:eastAsia="Times New Roman" w:hAnsi="Calibri" w:cs="Times New Roman"/>
                <w:color w:val="000000"/>
                <w:sz w:val="14"/>
                <w:szCs w:val="14"/>
                <w:lang w:eastAsia="en-NZ"/>
              </w:rPr>
              <w:t>a</w:t>
            </w:r>
            <w:r w:rsidRPr="00053467">
              <w:rPr>
                <w:rFonts w:ascii="Calibri" w:eastAsia="Times New Roman" w:hAnsi="Calibri" w:cs="Times New Roman"/>
                <w:color w:val="000000"/>
                <w:sz w:val="14"/>
                <w:szCs w:val="14"/>
                <w:lang w:eastAsia="en-NZ"/>
              </w:rPr>
              <w:t xml:space="preserve"> management responsibility specified.</w:t>
            </w:r>
          </w:p>
        </w:tc>
      </w:tr>
      <w:tr w:rsidR="00015EDA" w:rsidRPr="00965629" w:rsidTr="00015EDA">
        <w:trPr>
          <w:trHeight w:val="568"/>
        </w:trPr>
        <w:tc>
          <w:tcPr>
            <w:tcW w:w="0" w:type="auto"/>
            <w:tcBorders>
              <w:top w:val="single" w:sz="6" w:space="0" w:color="CCCCCC"/>
              <w:left w:val="single" w:sz="12" w:space="0" w:color="000000"/>
              <w:bottom w:val="single" w:sz="12" w:space="0" w:color="000000"/>
              <w:right w:val="single" w:sz="12" w:space="0" w:color="000000"/>
            </w:tcBorders>
            <w:shd w:val="clear" w:color="auto" w:fill="002060"/>
            <w:tcMar>
              <w:top w:w="0" w:type="dxa"/>
              <w:left w:w="45" w:type="dxa"/>
              <w:bottom w:w="0" w:type="dxa"/>
              <w:right w:w="45" w:type="dxa"/>
            </w:tcMar>
            <w:vAlign w:val="bottom"/>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r w:rsidRPr="00053467">
              <w:rPr>
                <w:rFonts w:ascii="Calibri" w:eastAsia="Times New Roman" w:hAnsi="Calibri" w:cs="Times New Roman"/>
                <w:color w:val="000000"/>
                <w:sz w:val="14"/>
                <w:szCs w:val="14"/>
                <w:lang w:eastAsia="en-NZ"/>
              </w:rPr>
              <w:t>High Opportunity</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4"/>
                <w:szCs w:val="14"/>
                <w:lang w:eastAsia="en-NZ"/>
              </w:rPr>
            </w:pPr>
            <w:r w:rsidRPr="00053467">
              <w:rPr>
                <w:rFonts w:ascii="Calibri" w:eastAsia="Times New Roman" w:hAnsi="Calibri" w:cs="Times New Roman"/>
                <w:color w:val="000000"/>
                <w:sz w:val="14"/>
                <w:szCs w:val="14"/>
                <w:lang w:eastAsia="en-NZ"/>
              </w:rPr>
              <w:t>Directors</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keepNext/>
              <w:spacing w:after="0" w:line="240" w:lineRule="auto"/>
              <w:jc w:val="center"/>
              <w:rPr>
                <w:rFonts w:ascii="Calibri" w:eastAsia="Times New Roman" w:hAnsi="Calibri" w:cs="Times New Roman"/>
                <w:color w:val="000000"/>
                <w:sz w:val="14"/>
                <w:szCs w:val="14"/>
                <w:lang w:eastAsia="en-NZ"/>
              </w:rPr>
            </w:pPr>
            <w:r w:rsidRPr="00053467">
              <w:rPr>
                <w:rFonts w:ascii="Calibri" w:eastAsia="Times New Roman" w:hAnsi="Calibri" w:cs="Times New Roman"/>
                <w:color w:val="000000"/>
                <w:sz w:val="14"/>
                <w:szCs w:val="14"/>
                <w:lang w:eastAsia="en-NZ"/>
              </w:rPr>
              <w:t xml:space="preserve">Detailed planning required at a senior level to prepare for and capture opportunity </w:t>
            </w:r>
          </w:p>
        </w:tc>
      </w:tr>
    </w:tbl>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Pr>
        <w:pStyle w:val="Caption"/>
        <w:framePr w:hSpace="180" w:wrap="around" w:vAnchor="text" w:hAnchor="page" w:x="5017" w:y="438"/>
      </w:pPr>
      <w:r>
        <w:t xml:space="preserve">Figure </w:t>
      </w:r>
      <w:r w:rsidR="006566FB">
        <w:fldChar w:fldCharType="begin"/>
      </w:r>
      <w:r w:rsidR="006566FB">
        <w:instrText xml:space="preserve"> SEQ Figure \* ARABIC </w:instrText>
      </w:r>
      <w:r w:rsidR="006566FB">
        <w:fldChar w:fldCharType="separate"/>
      </w:r>
      <w:r>
        <w:rPr>
          <w:noProof/>
        </w:rPr>
        <w:t>3</w:t>
      </w:r>
      <w:r w:rsidR="006566FB">
        <w:rPr>
          <w:noProof/>
        </w:rPr>
        <w:fldChar w:fldCharType="end"/>
      </w:r>
      <w:r>
        <w:t>: Risk Register Key</w:t>
      </w:r>
    </w:p>
    <w:p w:rsidR="00015EDA" w:rsidRDefault="00015EDA" w:rsidP="00015EDA"/>
    <w:p w:rsidR="00015EDA" w:rsidRDefault="00015EDA" w:rsidP="00015EDA"/>
    <w:tbl>
      <w:tblPr>
        <w:tblpPr w:leftFromText="180" w:rightFromText="180" w:vertAnchor="text" w:horzAnchor="margin" w:tblpY="323"/>
        <w:tblW w:w="9199"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609"/>
        <w:gridCol w:w="722"/>
        <w:gridCol w:w="803"/>
        <w:gridCol w:w="584"/>
        <w:gridCol w:w="555"/>
        <w:gridCol w:w="764"/>
        <w:gridCol w:w="698"/>
        <w:gridCol w:w="1039"/>
        <w:gridCol w:w="229"/>
        <w:gridCol w:w="229"/>
        <w:gridCol w:w="822"/>
        <w:gridCol w:w="605"/>
        <w:gridCol w:w="827"/>
        <w:gridCol w:w="599"/>
        <w:gridCol w:w="659"/>
      </w:tblGrid>
      <w:tr w:rsidR="00015EDA" w:rsidRPr="008055B7" w:rsidTr="00015EDA">
        <w:trPr>
          <w:trHeight w:val="250"/>
        </w:trPr>
        <w:tc>
          <w:tcPr>
            <w:tcW w:w="586" w:type="dxa"/>
            <w:tcBorders>
              <w:top w:val="single" w:sz="12" w:space="0" w:color="000000"/>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b/>
                <w:bCs/>
                <w:color w:val="000000"/>
                <w:sz w:val="12"/>
                <w:szCs w:val="18"/>
                <w:lang w:eastAsia="en-NZ"/>
              </w:rPr>
            </w:pPr>
            <w:r w:rsidRPr="00053467">
              <w:rPr>
                <w:rFonts w:ascii="Calibri" w:eastAsia="Times New Roman" w:hAnsi="Calibri" w:cs="Times New Roman"/>
                <w:b/>
                <w:bCs/>
                <w:color w:val="000000"/>
                <w:sz w:val="12"/>
                <w:szCs w:val="18"/>
                <w:lang w:eastAsia="en-NZ"/>
              </w:rPr>
              <w:lastRenderedPageBreak/>
              <w:t>Approx</w:t>
            </w:r>
            <w:r w:rsidRPr="008055B7">
              <w:rPr>
                <w:rFonts w:ascii="Calibri" w:eastAsia="Times New Roman" w:hAnsi="Calibri" w:cs="Times New Roman"/>
                <w:b/>
                <w:bCs/>
                <w:color w:val="000000"/>
                <w:sz w:val="12"/>
                <w:szCs w:val="18"/>
                <w:lang w:eastAsia="en-NZ"/>
              </w:rPr>
              <w:t>.</w:t>
            </w:r>
            <w:r w:rsidRPr="00053467">
              <w:rPr>
                <w:rFonts w:ascii="Calibri" w:eastAsia="Times New Roman" w:hAnsi="Calibri" w:cs="Times New Roman"/>
                <w:b/>
                <w:bCs/>
                <w:color w:val="000000"/>
                <w:sz w:val="12"/>
                <w:szCs w:val="18"/>
                <w:lang w:eastAsia="en-NZ"/>
              </w:rPr>
              <w:t xml:space="preserve"> Frequency (Per Year)</w:t>
            </w:r>
          </w:p>
        </w:tc>
        <w:tc>
          <w:tcPr>
            <w:tcW w:w="692" w:type="dxa"/>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b/>
                <w:bCs/>
                <w:color w:val="000000"/>
                <w:sz w:val="12"/>
                <w:szCs w:val="18"/>
                <w:lang w:eastAsia="en-NZ"/>
              </w:rPr>
            </w:pPr>
            <w:r w:rsidRPr="00053467">
              <w:rPr>
                <w:rFonts w:ascii="Calibri" w:eastAsia="Times New Roman" w:hAnsi="Calibri" w:cs="Times New Roman"/>
                <w:b/>
                <w:bCs/>
                <w:color w:val="000000"/>
                <w:sz w:val="12"/>
                <w:szCs w:val="18"/>
                <w:lang w:eastAsia="en-NZ"/>
              </w:rPr>
              <w:t>Description</w:t>
            </w:r>
          </w:p>
        </w:tc>
        <w:tc>
          <w:tcPr>
            <w:tcW w:w="769" w:type="dxa"/>
            <w:tcBorders>
              <w:top w:val="single" w:sz="12" w:space="0" w:color="000000"/>
              <w:left w:val="single" w:sz="6" w:space="0" w:color="CCCCCC"/>
              <w:bottom w:val="single" w:sz="12" w:space="0" w:color="000000"/>
              <w:right w:val="single" w:sz="12" w:space="0" w:color="000000"/>
            </w:tcBorders>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b/>
                <w:bCs/>
                <w:color w:val="000000"/>
                <w:sz w:val="12"/>
                <w:szCs w:val="18"/>
                <w:lang w:eastAsia="en-NZ"/>
              </w:rPr>
            </w:pPr>
            <w:r w:rsidRPr="008055B7">
              <w:rPr>
                <w:rFonts w:ascii="Calibri" w:eastAsia="Times New Roman" w:hAnsi="Calibri" w:cs="Times New Roman"/>
                <w:b/>
                <w:bCs/>
                <w:color w:val="000000"/>
                <w:sz w:val="12"/>
                <w:szCs w:val="18"/>
                <w:lang w:eastAsia="en-NZ"/>
              </w:rPr>
              <w:t>Likelihood</w:t>
            </w:r>
          </w:p>
        </w:tc>
        <w:tc>
          <w:tcPr>
            <w:tcW w:w="3640" w:type="dxa"/>
            <w:gridSpan w:val="6"/>
            <w:tcBorders>
              <w:top w:val="single" w:sz="12" w:space="0" w:color="000000"/>
              <w:left w:val="single" w:sz="6" w:space="0" w:color="CCCCCC"/>
              <w:bottom w:val="single" w:sz="12" w:space="0" w:color="000000"/>
              <w:right w:val="single" w:sz="12" w:space="0" w:color="000000"/>
            </w:tcBorders>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b/>
                <w:bCs/>
                <w:color w:val="000000"/>
                <w:sz w:val="12"/>
                <w:szCs w:val="18"/>
                <w:lang w:eastAsia="en-NZ"/>
              </w:rPr>
            </w:pPr>
            <w:r w:rsidRPr="00053467">
              <w:rPr>
                <w:rFonts w:ascii="Calibri" w:eastAsia="Times New Roman" w:hAnsi="Calibri" w:cs="Times New Roman"/>
                <w:b/>
                <w:bCs/>
                <w:color w:val="000000"/>
                <w:sz w:val="12"/>
                <w:szCs w:val="18"/>
                <w:lang w:eastAsia="en-NZ"/>
              </w:rPr>
              <w:t>Negative Risk Area (Threat)</w:t>
            </w:r>
          </w:p>
        </w:tc>
        <w:tc>
          <w:tcPr>
            <w:tcW w:w="3512" w:type="dxa"/>
            <w:gridSpan w:val="6"/>
            <w:tcBorders>
              <w:top w:val="single" w:sz="12" w:space="0" w:color="000000"/>
              <w:left w:val="single" w:sz="6" w:space="0" w:color="CCCCCC"/>
              <w:bottom w:val="single" w:sz="12" w:space="0" w:color="000000"/>
              <w:right w:val="single" w:sz="12" w:space="0" w:color="000000"/>
            </w:tcBorders>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b/>
                <w:bCs/>
                <w:color w:val="000000"/>
                <w:sz w:val="12"/>
                <w:szCs w:val="18"/>
                <w:lang w:eastAsia="en-NZ"/>
              </w:rPr>
            </w:pPr>
            <w:r w:rsidRPr="00053467">
              <w:rPr>
                <w:rFonts w:ascii="Calibri" w:eastAsia="Times New Roman" w:hAnsi="Calibri" w:cs="Times New Roman"/>
                <w:b/>
                <w:bCs/>
                <w:color w:val="000000"/>
                <w:sz w:val="12"/>
                <w:szCs w:val="18"/>
                <w:lang w:eastAsia="en-NZ"/>
              </w:rPr>
              <w:t>Positive Risk Area (Opportunity)</w:t>
            </w:r>
          </w:p>
        </w:tc>
      </w:tr>
      <w:tr w:rsidR="00015EDA" w:rsidRPr="008055B7" w:rsidTr="00015EDA">
        <w:trPr>
          <w:trHeight w:val="227"/>
        </w:trPr>
        <w:tc>
          <w:tcPr>
            <w:tcW w:w="586" w:type="dxa"/>
            <w:tcBorders>
              <w:top w:val="single" w:sz="6" w:space="0" w:color="CCCCCC"/>
              <w:left w:val="single" w:sz="12" w:space="0" w:color="000000"/>
              <w:bottom w:val="single" w:sz="6" w:space="0" w:color="000000"/>
              <w:right w:val="single" w:sz="12" w:space="0" w:color="000000"/>
            </w:tcBorders>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1</w:t>
            </w:r>
          </w:p>
        </w:tc>
        <w:tc>
          <w:tcPr>
            <w:tcW w:w="69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 xml:space="preserve">Annual </w:t>
            </w:r>
            <w:r w:rsidRPr="008055B7">
              <w:rPr>
                <w:rFonts w:ascii="Calibri" w:eastAsia="Times New Roman" w:hAnsi="Calibri" w:cs="Times New Roman"/>
                <w:color w:val="000000"/>
                <w:sz w:val="12"/>
                <w:szCs w:val="18"/>
                <w:lang w:eastAsia="en-NZ"/>
              </w:rPr>
              <w:t>Occurrence</w:t>
            </w:r>
          </w:p>
        </w:tc>
        <w:tc>
          <w:tcPr>
            <w:tcW w:w="769" w:type="dxa"/>
            <w:tcBorders>
              <w:top w:val="single" w:sz="6" w:space="0" w:color="CCCCCC"/>
              <w:left w:val="single" w:sz="6" w:space="0" w:color="CCCCCC"/>
              <w:bottom w:val="single" w:sz="6" w:space="0" w:color="000000"/>
              <w:right w:val="single" w:sz="12" w:space="0" w:color="000000"/>
            </w:tcBorders>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b/>
                <w:bCs/>
                <w:color w:val="000000"/>
                <w:sz w:val="12"/>
                <w:szCs w:val="18"/>
                <w:lang w:eastAsia="en-NZ"/>
              </w:rPr>
            </w:pPr>
            <w:r w:rsidRPr="00053467">
              <w:rPr>
                <w:rFonts w:ascii="Calibri" w:eastAsia="Times New Roman" w:hAnsi="Calibri" w:cs="Times New Roman"/>
                <w:b/>
                <w:bCs/>
                <w:color w:val="000000"/>
                <w:sz w:val="12"/>
                <w:szCs w:val="18"/>
                <w:lang w:eastAsia="en-NZ"/>
              </w:rPr>
              <w:t>Almost Certain</w:t>
            </w:r>
          </w:p>
        </w:tc>
        <w:tc>
          <w:tcPr>
            <w:tcW w:w="532" w:type="dxa"/>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bottom"/>
            <w:hideMark/>
          </w:tcPr>
          <w:p w:rsidR="00015EDA" w:rsidRPr="00053467" w:rsidRDefault="00015EDA" w:rsidP="00015EDA">
            <w:pPr>
              <w:spacing w:after="0" w:line="240" w:lineRule="auto"/>
              <w:jc w:val="center"/>
              <w:rPr>
                <w:rFonts w:ascii="Calibri" w:eastAsia="Times New Roman" w:hAnsi="Calibri" w:cs="Times New Roman"/>
                <w:b/>
                <w:bCs/>
                <w:color w:val="000000"/>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636"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946" w:type="dxa"/>
            <w:tcBorders>
              <w:top w:val="single" w:sz="6" w:space="0" w:color="CCCCCC"/>
              <w:left w:val="single" w:sz="6" w:space="0" w:color="CCCCCC"/>
              <w:bottom w:val="single" w:sz="6" w:space="0" w:color="000000"/>
              <w:right w:val="single" w:sz="12" w:space="0" w:color="000000"/>
            </w:tcBorders>
            <w:shd w:val="clear" w:color="auto" w:fill="FFFF0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gridSpan w:val="2"/>
            <w:tcBorders>
              <w:top w:val="single" w:sz="6" w:space="0" w:color="CCCCCC"/>
              <w:left w:val="single" w:sz="6" w:space="0" w:color="CCCCCC"/>
              <w:bottom w:val="single" w:sz="6" w:space="0" w:color="000000"/>
              <w:right w:val="single" w:sz="12" w:space="0" w:color="000000"/>
            </w:tcBorders>
            <w:shd w:val="clear" w:color="auto" w:fill="BFBFBF"/>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B0F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70C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70C0"/>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FFFFFF"/>
                <w:sz w:val="12"/>
                <w:szCs w:val="18"/>
                <w:lang w:eastAsia="en-NZ"/>
              </w:rPr>
            </w:pPr>
            <w:r w:rsidRPr="00053467">
              <w:rPr>
                <w:rFonts w:ascii="Calibri" w:eastAsia="Times New Roman" w:hAnsi="Calibri" w:cs="Times New Roman"/>
                <w:color w:val="FFFFFF"/>
                <w:sz w:val="12"/>
                <w:szCs w:val="18"/>
                <w:lang w:eastAsia="en-NZ"/>
              </w:rPr>
              <w:t>33</w:t>
            </w:r>
          </w:p>
        </w:tc>
        <w:tc>
          <w:tcPr>
            <w:tcW w:w="0" w:type="auto"/>
            <w:tcBorders>
              <w:top w:val="single" w:sz="6" w:space="0" w:color="CCCCCC"/>
              <w:left w:val="single" w:sz="6" w:space="0" w:color="CCCCCC"/>
              <w:bottom w:val="single" w:sz="6" w:space="0" w:color="000000"/>
              <w:right w:val="single" w:sz="6" w:space="0" w:color="000000"/>
            </w:tcBorders>
            <w:shd w:val="clear" w:color="auto" w:fill="002060"/>
            <w:tcMar>
              <w:top w:w="0" w:type="dxa"/>
              <w:left w:w="45" w:type="dxa"/>
              <w:bottom w:w="0" w:type="dxa"/>
              <w:right w:w="45" w:type="dxa"/>
            </w:tcMar>
            <w:vAlign w:val="bottom"/>
            <w:hideMark/>
          </w:tcPr>
          <w:p w:rsidR="00015EDA" w:rsidRPr="00053467" w:rsidRDefault="00015EDA" w:rsidP="00015EDA">
            <w:pPr>
              <w:spacing w:after="0" w:line="240" w:lineRule="auto"/>
              <w:jc w:val="center"/>
              <w:rPr>
                <w:rFonts w:ascii="Calibri" w:eastAsia="Times New Roman" w:hAnsi="Calibri" w:cs="Times New Roman"/>
                <w:color w:val="FFFFFF"/>
                <w:sz w:val="12"/>
                <w:szCs w:val="18"/>
                <w:lang w:eastAsia="en-NZ"/>
              </w:rPr>
            </w:pPr>
          </w:p>
        </w:tc>
        <w:tc>
          <w:tcPr>
            <w:tcW w:w="561" w:type="dxa"/>
            <w:tcBorders>
              <w:top w:val="single" w:sz="6" w:space="0" w:color="CCCCCC"/>
              <w:left w:val="single" w:sz="6" w:space="0" w:color="CCCCCC"/>
              <w:bottom w:val="single" w:sz="6" w:space="0" w:color="000000"/>
              <w:right w:val="single" w:sz="12" w:space="0" w:color="000000"/>
            </w:tcBorders>
            <w:shd w:val="clear" w:color="auto" w:fill="002060"/>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FFFFFF"/>
                <w:sz w:val="12"/>
                <w:szCs w:val="18"/>
                <w:lang w:eastAsia="en-NZ"/>
              </w:rPr>
            </w:pPr>
            <w:r w:rsidRPr="00053467">
              <w:rPr>
                <w:rFonts w:ascii="Calibri" w:eastAsia="Times New Roman" w:hAnsi="Calibri" w:cs="Times New Roman"/>
                <w:color w:val="FFFFFF"/>
                <w:sz w:val="12"/>
                <w:szCs w:val="18"/>
                <w:lang w:eastAsia="en-NZ"/>
              </w:rPr>
              <w:t>1</w:t>
            </w:r>
          </w:p>
        </w:tc>
      </w:tr>
      <w:tr w:rsidR="00015EDA" w:rsidRPr="008055B7" w:rsidTr="00015EDA">
        <w:trPr>
          <w:trHeight w:val="222"/>
        </w:trPr>
        <w:tc>
          <w:tcPr>
            <w:tcW w:w="586" w:type="dxa"/>
            <w:tcBorders>
              <w:top w:val="single" w:sz="6" w:space="0" w:color="CCCCCC"/>
              <w:left w:val="single" w:sz="12" w:space="0" w:color="000000"/>
              <w:bottom w:val="single" w:sz="6" w:space="0" w:color="000000"/>
              <w:right w:val="single" w:sz="12" w:space="0" w:color="000000"/>
            </w:tcBorders>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1/3</w:t>
            </w:r>
          </w:p>
        </w:tc>
        <w:tc>
          <w:tcPr>
            <w:tcW w:w="69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 xml:space="preserve">Has Occurred </w:t>
            </w:r>
            <w:r w:rsidRPr="008055B7">
              <w:rPr>
                <w:rFonts w:ascii="Calibri" w:eastAsia="Times New Roman" w:hAnsi="Calibri" w:cs="Times New Roman"/>
                <w:color w:val="000000"/>
                <w:sz w:val="12"/>
                <w:szCs w:val="18"/>
                <w:lang w:eastAsia="en-NZ"/>
              </w:rPr>
              <w:t>Several</w:t>
            </w:r>
            <w:r w:rsidRPr="00053467">
              <w:rPr>
                <w:rFonts w:ascii="Calibri" w:eastAsia="Times New Roman" w:hAnsi="Calibri" w:cs="Times New Roman"/>
                <w:color w:val="000000"/>
                <w:sz w:val="12"/>
                <w:szCs w:val="18"/>
                <w:lang w:eastAsia="en-NZ"/>
              </w:rPr>
              <w:t xml:space="preserve"> times in a lifetime</w:t>
            </w:r>
          </w:p>
        </w:tc>
        <w:tc>
          <w:tcPr>
            <w:tcW w:w="769" w:type="dxa"/>
            <w:tcBorders>
              <w:top w:val="single" w:sz="6" w:space="0" w:color="CCCCCC"/>
              <w:left w:val="single" w:sz="6" w:space="0" w:color="CCCCCC"/>
              <w:bottom w:val="single" w:sz="6" w:space="0" w:color="000000"/>
              <w:right w:val="single" w:sz="12" w:space="0" w:color="000000"/>
            </w:tcBorders>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b/>
                <w:bCs/>
                <w:color w:val="000000"/>
                <w:sz w:val="12"/>
                <w:szCs w:val="18"/>
                <w:lang w:eastAsia="en-NZ"/>
              </w:rPr>
            </w:pPr>
            <w:r w:rsidRPr="00053467">
              <w:rPr>
                <w:rFonts w:ascii="Calibri" w:eastAsia="Times New Roman" w:hAnsi="Calibri" w:cs="Times New Roman"/>
                <w:b/>
                <w:bCs/>
                <w:color w:val="000000"/>
                <w:sz w:val="12"/>
                <w:szCs w:val="18"/>
                <w:lang w:eastAsia="en-NZ"/>
              </w:rPr>
              <w:t>Likely</w:t>
            </w:r>
          </w:p>
        </w:tc>
        <w:tc>
          <w:tcPr>
            <w:tcW w:w="532" w:type="dxa"/>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bottom"/>
            <w:hideMark/>
          </w:tcPr>
          <w:p w:rsidR="00015EDA" w:rsidRPr="00053467" w:rsidRDefault="00015EDA" w:rsidP="00015EDA">
            <w:pPr>
              <w:spacing w:after="0" w:line="240" w:lineRule="auto"/>
              <w:jc w:val="center"/>
              <w:rPr>
                <w:rFonts w:ascii="Calibri" w:eastAsia="Times New Roman" w:hAnsi="Calibri" w:cs="Times New Roman"/>
                <w:b/>
                <w:bCs/>
                <w:color w:val="000000"/>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FF0000"/>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30</w:t>
            </w:r>
          </w:p>
        </w:tc>
        <w:tc>
          <w:tcPr>
            <w:tcW w:w="636" w:type="dxa"/>
            <w:tcBorders>
              <w:top w:val="single" w:sz="6" w:space="0" w:color="CCCCCC"/>
              <w:left w:val="single" w:sz="6" w:space="0" w:color="CCCCCC"/>
              <w:bottom w:val="single" w:sz="6" w:space="0" w:color="000000"/>
              <w:right w:val="single" w:sz="6" w:space="0" w:color="000000"/>
            </w:tcBorders>
            <w:shd w:val="clear" w:color="auto" w:fill="FFC000"/>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19, 25</w:t>
            </w:r>
          </w:p>
        </w:tc>
        <w:tc>
          <w:tcPr>
            <w:tcW w:w="946" w:type="dxa"/>
            <w:tcBorders>
              <w:top w:val="single" w:sz="6" w:space="0" w:color="CCCCCC"/>
              <w:left w:val="single" w:sz="6" w:space="0" w:color="CCCCCC"/>
              <w:bottom w:val="single" w:sz="6" w:space="0" w:color="000000"/>
              <w:right w:val="single" w:sz="12" w:space="0" w:color="000000"/>
            </w:tcBorders>
            <w:shd w:val="clear" w:color="auto" w:fill="FFFF00"/>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2</w:t>
            </w:r>
          </w:p>
        </w:tc>
        <w:tc>
          <w:tcPr>
            <w:tcW w:w="0" w:type="auto"/>
            <w:gridSpan w:val="2"/>
            <w:tcBorders>
              <w:top w:val="single" w:sz="6" w:space="0" w:color="CCCCCC"/>
              <w:left w:val="single" w:sz="6" w:space="0" w:color="CCCCCC"/>
              <w:bottom w:val="single" w:sz="6" w:space="0" w:color="000000"/>
              <w:right w:val="single" w:sz="12" w:space="0" w:color="000000"/>
            </w:tcBorders>
            <w:shd w:val="clear" w:color="auto" w:fill="BFBFBF"/>
            <w:tcMar>
              <w:top w:w="0" w:type="dxa"/>
              <w:left w:w="45" w:type="dxa"/>
              <w:bottom w:w="0" w:type="dxa"/>
              <w:right w:w="45" w:type="dxa"/>
            </w:tcMar>
            <w:vAlign w:val="bottom"/>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B0F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B0F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70C0"/>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FFFFFF"/>
                <w:sz w:val="12"/>
                <w:szCs w:val="18"/>
                <w:lang w:eastAsia="en-NZ"/>
              </w:rPr>
            </w:pPr>
            <w:r w:rsidRPr="00053467">
              <w:rPr>
                <w:rFonts w:ascii="Calibri" w:eastAsia="Times New Roman" w:hAnsi="Calibri" w:cs="Times New Roman"/>
                <w:color w:val="FFFFFF"/>
                <w:sz w:val="12"/>
                <w:szCs w:val="18"/>
                <w:lang w:eastAsia="en-NZ"/>
              </w:rPr>
              <w:t>6, 10, 22, 28</w:t>
            </w:r>
          </w:p>
        </w:tc>
        <w:tc>
          <w:tcPr>
            <w:tcW w:w="0" w:type="auto"/>
            <w:tcBorders>
              <w:top w:val="single" w:sz="6" w:space="0" w:color="CCCCCC"/>
              <w:left w:val="single" w:sz="6" w:space="0" w:color="CCCCCC"/>
              <w:bottom w:val="single" w:sz="6" w:space="0" w:color="000000"/>
              <w:right w:val="single" w:sz="6" w:space="0" w:color="000000"/>
            </w:tcBorders>
            <w:shd w:val="clear" w:color="auto" w:fill="002060"/>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FFFFFF"/>
                <w:sz w:val="12"/>
                <w:szCs w:val="18"/>
                <w:lang w:eastAsia="en-NZ"/>
              </w:rPr>
            </w:pPr>
            <w:r w:rsidRPr="00053467">
              <w:rPr>
                <w:rFonts w:ascii="Calibri" w:eastAsia="Times New Roman" w:hAnsi="Calibri" w:cs="Times New Roman"/>
                <w:color w:val="FFFFFF"/>
                <w:sz w:val="12"/>
                <w:szCs w:val="18"/>
                <w:lang w:eastAsia="en-NZ"/>
              </w:rPr>
              <w:t>4, 18</w:t>
            </w:r>
          </w:p>
        </w:tc>
        <w:tc>
          <w:tcPr>
            <w:tcW w:w="561" w:type="dxa"/>
            <w:tcBorders>
              <w:top w:val="single" w:sz="6" w:space="0" w:color="CCCCCC"/>
              <w:left w:val="single" w:sz="6" w:space="0" w:color="CCCCCC"/>
              <w:bottom w:val="single" w:sz="6" w:space="0" w:color="000000"/>
              <w:right w:val="single" w:sz="12" w:space="0" w:color="000000"/>
            </w:tcBorders>
            <w:shd w:val="clear" w:color="auto" w:fill="002060"/>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FFFFFF"/>
                <w:sz w:val="12"/>
                <w:szCs w:val="18"/>
                <w:lang w:eastAsia="en-NZ"/>
              </w:rPr>
            </w:pPr>
            <w:r w:rsidRPr="00053467">
              <w:rPr>
                <w:rFonts w:ascii="Calibri" w:eastAsia="Times New Roman" w:hAnsi="Calibri" w:cs="Times New Roman"/>
                <w:color w:val="FFFFFF"/>
                <w:sz w:val="12"/>
                <w:szCs w:val="18"/>
                <w:lang w:eastAsia="en-NZ"/>
              </w:rPr>
              <w:t>3, 11, 32</w:t>
            </w:r>
          </w:p>
        </w:tc>
      </w:tr>
      <w:tr w:rsidR="00015EDA" w:rsidRPr="008055B7" w:rsidTr="00015EDA">
        <w:trPr>
          <w:trHeight w:val="222"/>
        </w:trPr>
        <w:tc>
          <w:tcPr>
            <w:tcW w:w="586" w:type="dxa"/>
            <w:tcBorders>
              <w:top w:val="single" w:sz="6" w:space="0" w:color="CCCCCC"/>
              <w:left w:val="single" w:sz="12" w:space="0" w:color="000000"/>
              <w:bottom w:val="single" w:sz="6" w:space="0" w:color="000000"/>
              <w:right w:val="single" w:sz="12" w:space="0" w:color="000000"/>
            </w:tcBorders>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1/10</w:t>
            </w:r>
          </w:p>
        </w:tc>
        <w:tc>
          <w:tcPr>
            <w:tcW w:w="69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Occurred once in a lifetime</w:t>
            </w:r>
          </w:p>
        </w:tc>
        <w:tc>
          <w:tcPr>
            <w:tcW w:w="769" w:type="dxa"/>
            <w:tcBorders>
              <w:top w:val="single" w:sz="6" w:space="0" w:color="CCCCCC"/>
              <w:left w:val="single" w:sz="6" w:space="0" w:color="CCCCCC"/>
              <w:bottom w:val="single" w:sz="6" w:space="0" w:color="000000"/>
              <w:right w:val="single" w:sz="12" w:space="0" w:color="000000"/>
            </w:tcBorders>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b/>
                <w:bCs/>
                <w:color w:val="000000"/>
                <w:sz w:val="12"/>
                <w:szCs w:val="18"/>
                <w:lang w:eastAsia="en-NZ"/>
              </w:rPr>
            </w:pPr>
            <w:r w:rsidRPr="00053467">
              <w:rPr>
                <w:rFonts w:ascii="Calibri" w:eastAsia="Times New Roman" w:hAnsi="Calibri" w:cs="Times New Roman"/>
                <w:b/>
                <w:bCs/>
                <w:color w:val="000000"/>
                <w:sz w:val="12"/>
                <w:szCs w:val="18"/>
                <w:lang w:eastAsia="en-NZ"/>
              </w:rPr>
              <w:t>Possible</w:t>
            </w:r>
          </w:p>
        </w:tc>
        <w:tc>
          <w:tcPr>
            <w:tcW w:w="532" w:type="dxa"/>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bottom"/>
            <w:hideMark/>
          </w:tcPr>
          <w:p w:rsidR="00015EDA" w:rsidRPr="00053467" w:rsidRDefault="00015EDA" w:rsidP="00015EDA">
            <w:pPr>
              <w:spacing w:after="0" w:line="240" w:lineRule="auto"/>
              <w:jc w:val="center"/>
              <w:rPr>
                <w:rFonts w:ascii="Calibri" w:eastAsia="Times New Roman" w:hAnsi="Calibri" w:cs="Times New Roman"/>
                <w:b/>
                <w:bCs/>
                <w:color w:val="000000"/>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FF0000"/>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31</w:t>
            </w:r>
          </w:p>
        </w:tc>
        <w:tc>
          <w:tcPr>
            <w:tcW w:w="0" w:type="auto"/>
            <w:tcBorders>
              <w:top w:val="single" w:sz="6" w:space="0" w:color="CCCCCC"/>
              <w:left w:val="single" w:sz="6" w:space="0" w:color="CCCCCC"/>
              <w:bottom w:val="single" w:sz="6" w:space="0" w:color="000000"/>
              <w:right w:val="single" w:sz="6" w:space="0" w:color="000000"/>
            </w:tcBorders>
            <w:shd w:val="clear" w:color="auto" w:fill="FF0000"/>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24, 26</w:t>
            </w:r>
          </w:p>
        </w:tc>
        <w:tc>
          <w:tcPr>
            <w:tcW w:w="636" w:type="dxa"/>
            <w:tcBorders>
              <w:top w:val="single" w:sz="6" w:space="0" w:color="CCCCCC"/>
              <w:left w:val="single" w:sz="6" w:space="0" w:color="CCCCCC"/>
              <w:bottom w:val="single" w:sz="6" w:space="0" w:color="000000"/>
              <w:right w:val="single" w:sz="6" w:space="0" w:color="000000"/>
            </w:tcBorders>
            <w:shd w:val="clear" w:color="auto" w:fill="FFC000"/>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23, 27</w:t>
            </w:r>
          </w:p>
        </w:tc>
        <w:tc>
          <w:tcPr>
            <w:tcW w:w="946" w:type="dxa"/>
            <w:tcBorders>
              <w:top w:val="single" w:sz="6" w:space="0" w:color="CCCCCC"/>
              <w:left w:val="single" w:sz="6" w:space="0" w:color="CCCCCC"/>
              <w:bottom w:val="single" w:sz="6" w:space="0" w:color="000000"/>
              <w:right w:val="single" w:sz="12" w:space="0" w:color="000000"/>
            </w:tcBorders>
            <w:shd w:val="clear" w:color="auto" w:fill="FFFF00"/>
            <w:tcMar>
              <w:top w:w="0" w:type="dxa"/>
              <w:left w:w="45" w:type="dxa"/>
              <w:bottom w:w="0" w:type="dxa"/>
              <w:right w:w="45" w:type="dxa"/>
            </w:tcMar>
            <w:vAlign w:val="bottom"/>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p>
        </w:tc>
        <w:tc>
          <w:tcPr>
            <w:tcW w:w="0" w:type="auto"/>
            <w:gridSpan w:val="2"/>
            <w:tcBorders>
              <w:top w:val="single" w:sz="6" w:space="0" w:color="CCCCCC"/>
              <w:left w:val="single" w:sz="6" w:space="0" w:color="CCCCCC"/>
              <w:bottom w:val="single" w:sz="6" w:space="0" w:color="000000"/>
              <w:right w:val="single" w:sz="12" w:space="0" w:color="000000"/>
            </w:tcBorders>
            <w:shd w:val="clear" w:color="auto" w:fill="BFBFBF"/>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B0F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70C0"/>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FFFFFF"/>
                <w:sz w:val="12"/>
                <w:szCs w:val="18"/>
                <w:lang w:eastAsia="en-NZ"/>
              </w:rPr>
            </w:pPr>
            <w:r w:rsidRPr="00053467">
              <w:rPr>
                <w:rFonts w:ascii="Calibri" w:eastAsia="Times New Roman" w:hAnsi="Calibri" w:cs="Times New Roman"/>
                <w:color w:val="FFFFFF"/>
                <w:sz w:val="12"/>
                <w:szCs w:val="18"/>
                <w:lang w:eastAsia="en-NZ"/>
              </w:rPr>
              <w:t>5, 14</w:t>
            </w:r>
          </w:p>
        </w:tc>
        <w:tc>
          <w:tcPr>
            <w:tcW w:w="0" w:type="auto"/>
            <w:tcBorders>
              <w:top w:val="single" w:sz="6" w:space="0" w:color="CCCCCC"/>
              <w:left w:val="single" w:sz="6" w:space="0" w:color="CCCCCC"/>
              <w:bottom w:val="single" w:sz="6" w:space="0" w:color="000000"/>
              <w:right w:val="single" w:sz="6" w:space="0" w:color="000000"/>
            </w:tcBorders>
            <w:shd w:val="clear" w:color="auto" w:fill="0070C0"/>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FFFFFF"/>
                <w:sz w:val="12"/>
                <w:szCs w:val="18"/>
                <w:lang w:eastAsia="en-NZ"/>
              </w:rPr>
            </w:pPr>
            <w:r w:rsidRPr="00053467">
              <w:rPr>
                <w:rFonts w:ascii="Calibri" w:eastAsia="Times New Roman" w:hAnsi="Calibri" w:cs="Times New Roman"/>
                <w:color w:val="FFFFFF"/>
                <w:sz w:val="12"/>
                <w:szCs w:val="18"/>
                <w:lang w:eastAsia="en-NZ"/>
              </w:rPr>
              <w:t>17</w:t>
            </w:r>
          </w:p>
        </w:tc>
        <w:tc>
          <w:tcPr>
            <w:tcW w:w="561" w:type="dxa"/>
            <w:tcBorders>
              <w:top w:val="single" w:sz="6" w:space="0" w:color="CCCCCC"/>
              <w:left w:val="single" w:sz="6" w:space="0" w:color="CCCCCC"/>
              <w:bottom w:val="single" w:sz="6" w:space="0" w:color="000000"/>
              <w:right w:val="single" w:sz="12" w:space="0" w:color="000000"/>
            </w:tcBorders>
            <w:shd w:val="clear" w:color="auto" w:fill="002060"/>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FFFFFF"/>
                <w:sz w:val="12"/>
                <w:szCs w:val="18"/>
                <w:lang w:eastAsia="en-NZ"/>
              </w:rPr>
            </w:pPr>
            <w:r w:rsidRPr="00053467">
              <w:rPr>
                <w:rFonts w:ascii="Calibri" w:eastAsia="Times New Roman" w:hAnsi="Calibri" w:cs="Times New Roman"/>
                <w:color w:val="FFFFFF"/>
                <w:sz w:val="12"/>
                <w:szCs w:val="18"/>
                <w:lang w:eastAsia="en-NZ"/>
              </w:rPr>
              <w:t>7, 13, 34</w:t>
            </w:r>
          </w:p>
        </w:tc>
      </w:tr>
      <w:tr w:rsidR="00015EDA" w:rsidRPr="008055B7" w:rsidTr="00015EDA">
        <w:trPr>
          <w:trHeight w:val="227"/>
        </w:trPr>
        <w:tc>
          <w:tcPr>
            <w:tcW w:w="586" w:type="dxa"/>
            <w:tcBorders>
              <w:top w:val="single" w:sz="6" w:space="0" w:color="CCCCCC"/>
              <w:left w:val="single" w:sz="12" w:space="0" w:color="000000"/>
              <w:bottom w:val="single" w:sz="6" w:space="0" w:color="000000"/>
              <w:right w:val="single" w:sz="12" w:space="0" w:color="000000"/>
            </w:tcBorders>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1/30</w:t>
            </w:r>
          </w:p>
        </w:tc>
        <w:tc>
          <w:tcPr>
            <w:tcW w:w="69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Occurs somewhere from time to time</w:t>
            </w:r>
          </w:p>
        </w:tc>
        <w:tc>
          <w:tcPr>
            <w:tcW w:w="769" w:type="dxa"/>
            <w:tcBorders>
              <w:top w:val="single" w:sz="6" w:space="0" w:color="CCCCCC"/>
              <w:left w:val="single" w:sz="6" w:space="0" w:color="CCCCCC"/>
              <w:bottom w:val="single" w:sz="6" w:space="0" w:color="000000"/>
              <w:right w:val="single" w:sz="12" w:space="0" w:color="000000"/>
            </w:tcBorders>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b/>
                <w:bCs/>
                <w:color w:val="000000"/>
                <w:sz w:val="12"/>
                <w:szCs w:val="18"/>
                <w:lang w:eastAsia="en-NZ"/>
              </w:rPr>
            </w:pPr>
            <w:r w:rsidRPr="00053467">
              <w:rPr>
                <w:rFonts w:ascii="Calibri" w:eastAsia="Times New Roman" w:hAnsi="Calibri" w:cs="Times New Roman"/>
                <w:b/>
                <w:bCs/>
                <w:color w:val="000000"/>
                <w:sz w:val="12"/>
                <w:szCs w:val="18"/>
                <w:lang w:eastAsia="en-NZ"/>
              </w:rPr>
              <w:t>Unlikely</w:t>
            </w:r>
          </w:p>
        </w:tc>
        <w:tc>
          <w:tcPr>
            <w:tcW w:w="532" w:type="dxa"/>
            <w:tcBorders>
              <w:top w:val="single" w:sz="6" w:space="0" w:color="CCCCCC"/>
              <w:left w:val="single" w:sz="6" w:space="0" w:color="CCCCCC"/>
              <w:bottom w:val="single" w:sz="6" w:space="0" w:color="000000"/>
              <w:right w:val="single" w:sz="6" w:space="0" w:color="000000"/>
            </w:tcBorders>
            <w:shd w:val="clear" w:color="auto" w:fill="FF0000"/>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8, 15, 37</w:t>
            </w:r>
          </w:p>
        </w:tc>
        <w:tc>
          <w:tcPr>
            <w:tcW w:w="0" w:type="auto"/>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bottom"/>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636"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946" w:type="dxa"/>
            <w:tcBorders>
              <w:top w:val="single" w:sz="6" w:space="0" w:color="CCCCCC"/>
              <w:left w:val="single" w:sz="6" w:space="0" w:color="CCCCCC"/>
              <w:bottom w:val="single" w:sz="6" w:space="0" w:color="000000"/>
              <w:right w:val="single" w:sz="12" w:space="0" w:color="000000"/>
            </w:tcBorders>
            <w:shd w:val="clear" w:color="auto" w:fill="FFFF0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gridSpan w:val="2"/>
            <w:tcBorders>
              <w:top w:val="single" w:sz="6" w:space="0" w:color="CCCCCC"/>
              <w:left w:val="single" w:sz="6" w:space="0" w:color="CCCCCC"/>
              <w:bottom w:val="single" w:sz="6" w:space="0" w:color="000000"/>
              <w:right w:val="single" w:sz="12" w:space="0" w:color="000000"/>
            </w:tcBorders>
            <w:shd w:val="clear" w:color="auto" w:fill="BFBFBF"/>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B0F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B0F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70C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561" w:type="dxa"/>
            <w:tcBorders>
              <w:top w:val="single" w:sz="6" w:space="0" w:color="CCCCCC"/>
              <w:left w:val="single" w:sz="6" w:space="0" w:color="CCCCCC"/>
              <w:bottom w:val="single" w:sz="6" w:space="0" w:color="000000"/>
              <w:right w:val="single" w:sz="12" w:space="0" w:color="000000"/>
            </w:tcBorders>
            <w:shd w:val="clear" w:color="auto" w:fill="0070C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r>
      <w:tr w:rsidR="00015EDA" w:rsidRPr="008055B7" w:rsidTr="00015EDA">
        <w:trPr>
          <w:trHeight w:val="222"/>
        </w:trPr>
        <w:tc>
          <w:tcPr>
            <w:tcW w:w="586" w:type="dxa"/>
            <w:tcBorders>
              <w:top w:val="single" w:sz="6" w:space="0" w:color="CCCCCC"/>
              <w:left w:val="single" w:sz="12" w:space="0" w:color="000000"/>
              <w:bottom w:val="single" w:sz="6" w:space="0" w:color="000000"/>
              <w:right w:val="single" w:sz="12" w:space="0" w:color="000000"/>
            </w:tcBorders>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1/100</w:t>
            </w:r>
          </w:p>
        </w:tc>
        <w:tc>
          <w:tcPr>
            <w:tcW w:w="69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Heard of it happening elsewhere</w:t>
            </w:r>
          </w:p>
        </w:tc>
        <w:tc>
          <w:tcPr>
            <w:tcW w:w="769" w:type="dxa"/>
            <w:tcBorders>
              <w:top w:val="single" w:sz="6" w:space="0" w:color="CCCCCC"/>
              <w:left w:val="single" w:sz="6" w:space="0" w:color="CCCCCC"/>
              <w:bottom w:val="single" w:sz="6" w:space="0" w:color="000000"/>
              <w:right w:val="single" w:sz="12" w:space="0" w:color="000000"/>
            </w:tcBorders>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b/>
                <w:bCs/>
                <w:color w:val="000000"/>
                <w:sz w:val="12"/>
                <w:szCs w:val="18"/>
                <w:lang w:eastAsia="en-NZ"/>
              </w:rPr>
            </w:pPr>
            <w:r w:rsidRPr="00053467">
              <w:rPr>
                <w:rFonts w:ascii="Calibri" w:eastAsia="Times New Roman" w:hAnsi="Calibri" w:cs="Times New Roman"/>
                <w:b/>
                <w:bCs/>
                <w:color w:val="000000"/>
                <w:sz w:val="12"/>
                <w:szCs w:val="18"/>
                <w:lang w:eastAsia="en-NZ"/>
              </w:rPr>
              <w:t>Rare</w:t>
            </w:r>
          </w:p>
        </w:tc>
        <w:tc>
          <w:tcPr>
            <w:tcW w:w="532" w:type="dxa"/>
            <w:tcBorders>
              <w:top w:val="single" w:sz="6" w:space="0" w:color="CCCCCC"/>
              <w:left w:val="single" w:sz="6" w:space="0" w:color="CCCCCC"/>
              <w:bottom w:val="single" w:sz="6" w:space="0" w:color="000000"/>
              <w:right w:val="single" w:sz="6" w:space="0" w:color="000000"/>
            </w:tcBorders>
            <w:shd w:val="clear" w:color="auto" w:fill="FF0000"/>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36</w:t>
            </w:r>
          </w:p>
        </w:tc>
        <w:tc>
          <w:tcPr>
            <w:tcW w:w="0" w:type="auto"/>
            <w:tcBorders>
              <w:top w:val="single" w:sz="6" w:space="0" w:color="CCCCCC"/>
              <w:left w:val="single" w:sz="6" w:space="0" w:color="CCCCCC"/>
              <w:bottom w:val="single" w:sz="6" w:space="0" w:color="000000"/>
              <w:right w:val="single" w:sz="6" w:space="0" w:color="000000"/>
            </w:tcBorders>
            <w:shd w:val="clear" w:color="auto" w:fill="FF0000"/>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12, 29</w:t>
            </w:r>
          </w:p>
        </w:tc>
        <w:tc>
          <w:tcPr>
            <w:tcW w:w="0" w:type="auto"/>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p>
        </w:tc>
        <w:tc>
          <w:tcPr>
            <w:tcW w:w="636" w:type="dxa"/>
            <w:tcBorders>
              <w:top w:val="single" w:sz="6" w:space="0" w:color="CCCCCC"/>
              <w:left w:val="single" w:sz="6" w:space="0" w:color="CCCCCC"/>
              <w:bottom w:val="single" w:sz="6" w:space="0" w:color="000000"/>
              <w:right w:val="single" w:sz="6" w:space="0" w:color="000000"/>
            </w:tcBorders>
            <w:shd w:val="clear" w:color="auto" w:fill="FFFF00"/>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21</w:t>
            </w:r>
          </w:p>
        </w:tc>
        <w:tc>
          <w:tcPr>
            <w:tcW w:w="946" w:type="dxa"/>
            <w:tcBorders>
              <w:top w:val="single" w:sz="6" w:space="0" w:color="CCCCCC"/>
              <w:left w:val="single" w:sz="6" w:space="0" w:color="CCCCCC"/>
              <w:bottom w:val="single" w:sz="6" w:space="0" w:color="000000"/>
              <w:right w:val="single" w:sz="12" w:space="0" w:color="000000"/>
            </w:tcBorders>
            <w:shd w:val="clear" w:color="auto" w:fill="FFFF00"/>
            <w:tcMar>
              <w:top w:w="0" w:type="dxa"/>
              <w:left w:w="45" w:type="dxa"/>
              <w:bottom w:w="0" w:type="dxa"/>
              <w:right w:w="45" w:type="dxa"/>
            </w:tcMar>
            <w:vAlign w:val="bottom"/>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p>
        </w:tc>
        <w:tc>
          <w:tcPr>
            <w:tcW w:w="0" w:type="auto"/>
            <w:gridSpan w:val="2"/>
            <w:tcBorders>
              <w:top w:val="single" w:sz="6" w:space="0" w:color="CCCCCC"/>
              <w:left w:val="single" w:sz="6" w:space="0" w:color="CCCCCC"/>
              <w:bottom w:val="single" w:sz="6" w:space="0" w:color="000000"/>
              <w:right w:val="single" w:sz="12" w:space="0" w:color="000000"/>
            </w:tcBorders>
            <w:shd w:val="clear" w:color="auto" w:fill="BFBFBF"/>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B0F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B0F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561" w:type="dxa"/>
            <w:tcBorders>
              <w:top w:val="single" w:sz="6" w:space="0" w:color="CCCCCC"/>
              <w:left w:val="single" w:sz="6" w:space="0" w:color="CCCCCC"/>
              <w:bottom w:val="single" w:sz="6" w:space="0" w:color="000000"/>
              <w:right w:val="single" w:sz="12" w:space="0" w:color="000000"/>
            </w:tcBorders>
            <w:shd w:val="clear" w:color="auto" w:fill="0070C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r>
      <w:tr w:rsidR="00015EDA" w:rsidRPr="008055B7" w:rsidTr="00015EDA">
        <w:trPr>
          <w:trHeight w:val="222"/>
        </w:trPr>
        <w:tc>
          <w:tcPr>
            <w:tcW w:w="586" w:type="dxa"/>
            <w:tcBorders>
              <w:top w:val="single" w:sz="6" w:space="0" w:color="CCCCCC"/>
              <w:left w:val="single" w:sz="12" w:space="0" w:color="000000"/>
              <w:bottom w:val="single" w:sz="6" w:space="0" w:color="000000"/>
              <w:right w:val="single" w:sz="12" w:space="0" w:color="000000"/>
            </w:tcBorders>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1/1000</w:t>
            </w:r>
          </w:p>
        </w:tc>
        <w:tc>
          <w:tcPr>
            <w:tcW w:w="69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 xml:space="preserve">Have never heard of it happening </w:t>
            </w:r>
          </w:p>
        </w:tc>
        <w:tc>
          <w:tcPr>
            <w:tcW w:w="769" w:type="dxa"/>
            <w:tcBorders>
              <w:top w:val="single" w:sz="6" w:space="0" w:color="CCCCCC"/>
              <w:left w:val="single" w:sz="6" w:space="0" w:color="CCCCCC"/>
              <w:bottom w:val="single" w:sz="6" w:space="0" w:color="000000"/>
              <w:right w:val="single" w:sz="12" w:space="0" w:color="000000"/>
            </w:tcBorders>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b/>
                <w:bCs/>
                <w:color w:val="000000"/>
                <w:sz w:val="12"/>
                <w:szCs w:val="18"/>
                <w:lang w:eastAsia="en-NZ"/>
              </w:rPr>
            </w:pPr>
            <w:r w:rsidRPr="00053467">
              <w:rPr>
                <w:rFonts w:ascii="Calibri" w:eastAsia="Times New Roman" w:hAnsi="Calibri" w:cs="Times New Roman"/>
                <w:b/>
                <w:bCs/>
                <w:color w:val="000000"/>
                <w:sz w:val="12"/>
                <w:szCs w:val="18"/>
                <w:lang w:eastAsia="en-NZ"/>
              </w:rPr>
              <w:t>Very Rare</w:t>
            </w:r>
          </w:p>
        </w:tc>
        <w:tc>
          <w:tcPr>
            <w:tcW w:w="532" w:type="dxa"/>
            <w:tcBorders>
              <w:top w:val="single" w:sz="6" w:space="0" w:color="CCCCCC"/>
              <w:left w:val="single" w:sz="6" w:space="0" w:color="CCCCCC"/>
              <w:bottom w:val="single" w:sz="6" w:space="0" w:color="000000"/>
              <w:right w:val="single" w:sz="6" w:space="0" w:color="000000"/>
            </w:tcBorders>
            <w:shd w:val="clear" w:color="auto" w:fill="FF0000"/>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16, 28</w:t>
            </w:r>
          </w:p>
        </w:tc>
        <w:tc>
          <w:tcPr>
            <w:tcW w:w="0" w:type="auto"/>
            <w:tcBorders>
              <w:top w:val="single" w:sz="6" w:space="0" w:color="CCCCCC"/>
              <w:left w:val="single" w:sz="6" w:space="0" w:color="CCCCCC"/>
              <w:bottom w:val="single" w:sz="6" w:space="0" w:color="000000"/>
              <w:right w:val="single" w:sz="6" w:space="0" w:color="000000"/>
            </w:tcBorders>
            <w:shd w:val="clear" w:color="auto" w:fill="FFC000"/>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9</w:t>
            </w:r>
          </w:p>
        </w:tc>
        <w:tc>
          <w:tcPr>
            <w:tcW w:w="0" w:type="auto"/>
            <w:tcBorders>
              <w:top w:val="single" w:sz="6" w:space="0" w:color="CCCCCC"/>
              <w:left w:val="single" w:sz="6" w:space="0" w:color="CCCCCC"/>
              <w:bottom w:val="single" w:sz="6" w:space="0" w:color="000000"/>
              <w:right w:val="single" w:sz="6" w:space="0" w:color="000000"/>
            </w:tcBorders>
            <w:shd w:val="clear" w:color="auto" w:fill="FFC000"/>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35</w:t>
            </w:r>
          </w:p>
        </w:tc>
        <w:tc>
          <w:tcPr>
            <w:tcW w:w="636" w:type="dxa"/>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bottom"/>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p>
        </w:tc>
        <w:tc>
          <w:tcPr>
            <w:tcW w:w="946" w:type="dxa"/>
            <w:tcBorders>
              <w:top w:val="single" w:sz="6" w:space="0" w:color="CCCCCC"/>
              <w:left w:val="single" w:sz="6" w:space="0" w:color="CCCCCC"/>
              <w:bottom w:val="single" w:sz="6" w:space="0" w:color="000000"/>
              <w:right w:val="single" w:sz="12" w:space="0" w:color="000000"/>
            </w:tcBorders>
            <w:shd w:val="clear" w:color="auto" w:fill="FFFF0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gridSpan w:val="2"/>
            <w:tcBorders>
              <w:top w:val="single" w:sz="6" w:space="0" w:color="CCCCCC"/>
              <w:left w:val="single" w:sz="6" w:space="0" w:color="CCCCCC"/>
              <w:bottom w:val="single" w:sz="6" w:space="0" w:color="000000"/>
              <w:right w:val="single" w:sz="12" w:space="0" w:color="000000"/>
            </w:tcBorders>
            <w:shd w:val="clear" w:color="auto" w:fill="BFBFBF"/>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561" w:type="dxa"/>
            <w:tcBorders>
              <w:top w:val="single" w:sz="6" w:space="0" w:color="CCCCCC"/>
              <w:left w:val="single" w:sz="6" w:space="0" w:color="CCCCCC"/>
              <w:bottom w:val="single" w:sz="6" w:space="0" w:color="000000"/>
              <w:right w:val="single" w:sz="12" w:space="0" w:color="000000"/>
            </w:tcBorders>
            <w:shd w:val="clear" w:color="auto" w:fill="00B0F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r>
      <w:tr w:rsidR="00015EDA" w:rsidRPr="008055B7" w:rsidTr="00015EDA">
        <w:trPr>
          <w:trHeight w:val="227"/>
        </w:trPr>
        <w:tc>
          <w:tcPr>
            <w:tcW w:w="586" w:type="dxa"/>
            <w:tcBorders>
              <w:top w:val="single" w:sz="6" w:space="0" w:color="CCCCCC"/>
              <w:left w:val="single" w:sz="12" w:space="0" w:color="000000"/>
              <w:bottom w:val="single" w:sz="12" w:space="0" w:color="000000"/>
              <w:right w:val="single" w:sz="12" w:space="0" w:color="000000"/>
            </w:tcBorders>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1/10000</w:t>
            </w:r>
          </w:p>
        </w:tc>
        <w:tc>
          <w:tcPr>
            <w:tcW w:w="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8055B7">
              <w:rPr>
                <w:rFonts w:ascii="Calibri" w:eastAsia="Times New Roman" w:hAnsi="Calibri" w:cs="Times New Roman"/>
                <w:color w:val="000000"/>
                <w:sz w:val="12"/>
                <w:szCs w:val="18"/>
                <w:lang w:eastAsia="en-NZ"/>
              </w:rPr>
              <w:t>Theoretically</w:t>
            </w:r>
            <w:r w:rsidRPr="00053467">
              <w:rPr>
                <w:rFonts w:ascii="Calibri" w:eastAsia="Times New Roman" w:hAnsi="Calibri" w:cs="Times New Roman"/>
                <w:color w:val="000000"/>
                <w:sz w:val="12"/>
                <w:szCs w:val="18"/>
                <w:lang w:eastAsia="en-NZ"/>
              </w:rPr>
              <w:t xml:space="preserve"> possible but not expected to occur</w:t>
            </w:r>
          </w:p>
        </w:tc>
        <w:tc>
          <w:tcPr>
            <w:tcW w:w="769" w:type="dxa"/>
            <w:tcBorders>
              <w:top w:val="single" w:sz="6" w:space="0" w:color="CCCCCC"/>
              <w:left w:val="single" w:sz="6" w:space="0" w:color="CCCCCC"/>
              <w:bottom w:val="single" w:sz="12" w:space="0" w:color="000000"/>
              <w:right w:val="single" w:sz="12" w:space="0" w:color="000000"/>
            </w:tcBorders>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b/>
                <w:bCs/>
                <w:color w:val="000000"/>
                <w:sz w:val="12"/>
                <w:szCs w:val="18"/>
                <w:lang w:eastAsia="en-NZ"/>
              </w:rPr>
            </w:pPr>
            <w:r w:rsidRPr="00053467">
              <w:rPr>
                <w:rFonts w:ascii="Calibri" w:eastAsia="Times New Roman" w:hAnsi="Calibri" w:cs="Times New Roman"/>
                <w:b/>
                <w:bCs/>
                <w:color w:val="000000"/>
                <w:sz w:val="12"/>
                <w:szCs w:val="18"/>
                <w:lang w:eastAsia="en-NZ"/>
              </w:rPr>
              <w:t xml:space="preserve">Almost Incredible </w:t>
            </w:r>
          </w:p>
        </w:tc>
        <w:tc>
          <w:tcPr>
            <w:tcW w:w="532" w:type="dxa"/>
            <w:tcBorders>
              <w:top w:val="single" w:sz="6" w:space="0" w:color="CCCCCC"/>
              <w:left w:val="single" w:sz="6" w:space="0" w:color="CCCCCC"/>
              <w:bottom w:val="single" w:sz="12" w:space="0" w:color="000000"/>
              <w:right w:val="single" w:sz="6" w:space="0" w:color="000000"/>
            </w:tcBorders>
            <w:shd w:val="clear" w:color="auto" w:fill="FFC000"/>
            <w:tcMar>
              <w:top w:w="0" w:type="dxa"/>
              <w:left w:w="45" w:type="dxa"/>
              <w:bottom w:w="0" w:type="dxa"/>
              <w:right w:w="45" w:type="dxa"/>
            </w:tcMar>
            <w:vAlign w:val="bottom"/>
            <w:hideMark/>
          </w:tcPr>
          <w:p w:rsidR="00015EDA" w:rsidRPr="00053467" w:rsidRDefault="00015EDA" w:rsidP="00015EDA">
            <w:pPr>
              <w:spacing w:after="0" w:line="240" w:lineRule="auto"/>
              <w:jc w:val="center"/>
              <w:rPr>
                <w:rFonts w:ascii="Calibri" w:eastAsia="Times New Roman" w:hAnsi="Calibri" w:cs="Times New Roman"/>
                <w:b/>
                <w:bCs/>
                <w:color w:val="000000"/>
                <w:sz w:val="12"/>
                <w:szCs w:val="18"/>
                <w:lang w:eastAsia="en-NZ"/>
              </w:rPr>
            </w:pPr>
          </w:p>
        </w:tc>
        <w:tc>
          <w:tcPr>
            <w:tcW w:w="0" w:type="auto"/>
            <w:tcBorders>
              <w:top w:val="single" w:sz="6" w:space="0" w:color="CCCCCC"/>
              <w:left w:val="single" w:sz="6" w:space="0" w:color="CCCCCC"/>
              <w:bottom w:val="single" w:sz="12" w:space="0" w:color="000000"/>
              <w:right w:val="single" w:sz="6" w:space="0" w:color="000000"/>
            </w:tcBorders>
            <w:shd w:val="clear" w:color="auto" w:fill="FFC00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12" w:space="0" w:color="000000"/>
              <w:right w:val="single" w:sz="6" w:space="0" w:color="000000"/>
            </w:tcBorders>
            <w:shd w:val="clear" w:color="auto" w:fill="FFFF0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636" w:type="dxa"/>
            <w:tcBorders>
              <w:top w:val="single" w:sz="6" w:space="0" w:color="CCCCCC"/>
              <w:left w:val="single" w:sz="6" w:space="0" w:color="CCCCCC"/>
              <w:bottom w:val="single" w:sz="12" w:space="0" w:color="000000"/>
              <w:right w:val="single" w:sz="6" w:space="0" w:color="000000"/>
            </w:tcBorders>
            <w:shd w:val="clear" w:color="auto" w:fill="FFFF0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946" w:type="dxa"/>
            <w:tcBorders>
              <w:top w:val="single" w:sz="6" w:space="0" w:color="CCCCCC"/>
              <w:left w:val="single" w:sz="6" w:space="0" w:color="CCCCCC"/>
              <w:bottom w:val="single" w:sz="12" w:space="0" w:color="000000"/>
              <w:right w:val="single" w:sz="12" w:space="0" w:color="000000"/>
            </w:tcBorders>
            <w:shd w:val="clear" w:color="auto" w:fill="FFFF0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gridSpan w:val="2"/>
            <w:tcBorders>
              <w:top w:val="single" w:sz="6" w:space="0" w:color="CCCCCC"/>
              <w:left w:val="single" w:sz="6" w:space="0" w:color="CCCCCC"/>
              <w:bottom w:val="single" w:sz="12" w:space="0" w:color="000000"/>
              <w:right w:val="single" w:sz="12" w:space="0" w:color="000000"/>
            </w:tcBorders>
            <w:shd w:val="clear" w:color="auto" w:fill="BFBFBF"/>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12" w:space="0" w:color="000000"/>
              <w:right w:val="single" w:sz="6" w:space="0" w:color="000000"/>
            </w:tcBorders>
            <w:shd w:val="clear" w:color="auto" w:fill="00B05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12" w:space="0" w:color="000000"/>
              <w:right w:val="single" w:sz="6" w:space="0" w:color="000000"/>
            </w:tcBorders>
            <w:shd w:val="clear" w:color="auto" w:fill="00B05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12" w:space="0" w:color="000000"/>
              <w:right w:val="single" w:sz="6" w:space="0" w:color="000000"/>
            </w:tcBorders>
            <w:shd w:val="clear" w:color="auto" w:fill="00B05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0" w:type="auto"/>
            <w:tcBorders>
              <w:top w:val="single" w:sz="6" w:space="0" w:color="CCCCCC"/>
              <w:left w:val="single" w:sz="6" w:space="0" w:color="CCCCCC"/>
              <w:bottom w:val="single" w:sz="12" w:space="0" w:color="000000"/>
              <w:right w:val="single" w:sz="6" w:space="0" w:color="000000"/>
            </w:tcBorders>
            <w:shd w:val="clear" w:color="auto" w:fill="00B05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561" w:type="dxa"/>
            <w:tcBorders>
              <w:top w:val="single" w:sz="6" w:space="0" w:color="CCCCCC"/>
              <w:left w:val="single" w:sz="6" w:space="0" w:color="CCCCCC"/>
              <w:bottom w:val="single" w:sz="12" w:space="0" w:color="000000"/>
              <w:right w:val="single" w:sz="12" w:space="0" w:color="000000"/>
            </w:tcBorders>
            <w:shd w:val="clear" w:color="auto" w:fill="00B050"/>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r>
      <w:tr w:rsidR="00015EDA" w:rsidRPr="008055B7" w:rsidTr="00015EDA">
        <w:trPr>
          <w:trHeight w:val="580"/>
        </w:trPr>
        <w:tc>
          <w:tcPr>
            <w:tcW w:w="58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69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015EDA" w:rsidRPr="00053467" w:rsidRDefault="00015EDA" w:rsidP="00015EDA">
            <w:pPr>
              <w:spacing w:after="0" w:line="240" w:lineRule="auto"/>
              <w:rPr>
                <w:rFonts w:ascii="Times New Roman" w:eastAsia="Times New Roman" w:hAnsi="Times New Roman" w:cs="Times New Roman"/>
                <w:sz w:val="12"/>
                <w:szCs w:val="18"/>
                <w:lang w:eastAsia="en-NZ"/>
              </w:rPr>
            </w:pPr>
          </w:p>
        </w:tc>
        <w:tc>
          <w:tcPr>
            <w:tcW w:w="769" w:type="dxa"/>
            <w:tcBorders>
              <w:top w:val="single" w:sz="6" w:space="0" w:color="CCCCCC"/>
              <w:left w:val="single" w:sz="6" w:space="0" w:color="CCCCCC"/>
              <w:bottom w:val="single" w:sz="12" w:space="0" w:color="000000"/>
              <w:right w:val="single" w:sz="12" w:space="0" w:color="000000"/>
            </w:tcBorders>
            <w:noWrap/>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b/>
                <w:bCs/>
                <w:color w:val="000000"/>
                <w:sz w:val="12"/>
                <w:szCs w:val="18"/>
                <w:lang w:eastAsia="en-NZ"/>
              </w:rPr>
            </w:pPr>
            <w:r w:rsidRPr="00053467">
              <w:rPr>
                <w:rFonts w:ascii="Calibri" w:eastAsia="Times New Roman" w:hAnsi="Calibri" w:cs="Times New Roman"/>
                <w:b/>
                <w:bCs/>
                <w:color w:val="000000"/>
                <w:sz w:val="12"/>
                <w:szCs w:val="18"/>
                <w:lang w:eastAsia="en-NZ"/>
              </w:rPr>
              <w:t>Consequences</w:t>
            </w:r>
          </w:p>
        </w:tc>
        <w:tc>
          <w:tcPr>
            <w:tcW w:w="53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Severe Loss</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Major Loss</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Moderate Loss</w:t>
            </w:r>
          </w:p>
        </w:tc>
        <w:tc>
          <w:tcPr>
            <w:tcW w:w="636"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Minor Loss</w:t>
            </w:r>
          </w:p>
        </w:tc>
        <w:tc>
          <w:tcPr>
            <w:tcW w:w="946"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Negligible Loss</w:t>
            </w:r>
          </w:p>
        </w:tc>
        <w:tc>
          <w:tcPr>
            <w:tcW w:w="0" w:type="auto"/>
            <w:gridSpan w:val="2"/>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Neutral</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Negligible Gain</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Minor Gain</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Moderate Gain</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rsidR="00015EDA" w:rsidRPr="00053467" w:rsidRDefault="00015EDA" w:rsidP="00015EDA">
            <w:pPr>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Major Gain</w:t>
            </w:r>
          </w:p>
        </w:tc>
        <w:tc>
          <w:tcPr>
            <w:tcW w:w="56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015EDA" w:rsidRPr="00053467" w:rsidRDefault="00015EDA" w:rsidP="00015EDA">
            <w:pPr>
              <w:keepNext/>
              <w:spacing w:after="0" w:line="240" w:lineRule="auto"/>
              <w:jc w:val="center"/>
              <w:rPr>
                <w:rFonts w:ascii="Calibri" w:eastAsia="Times New Roman" w:hAnsi="Calibri" w:cs="Times New Roman"/>
                <w:color w:val="000000"/>
                <w:sz w:val="12"/>
                <w:szCs w:val="18"/>
                <w:lang w:eastAsia="en-NZ"/>
              </w:rPr>
            </w:pPr>
            <w:r w:rsidRPr="00053467">
              <w:rPr>
                <w:rFonts w:ascii="Calibri" w:eastAsia="Times New Roman" w:hAnsi="Calibri" w:cs="Times New Roman"/>
                <w:color w:val="000000"/>
                <w:sz w:val="12"/>
                <w:szCs w:val="18"/>
                <w:lang w:eastAsia="en-NZ"/>
              </w:rPr>
              <w:t>Huge Gain</w:t>
            </w:r>
          </w:p>
        </w:tc>
      </w:tr>
    </w:tbl>
    <w:p w:rsidR="00015EDA" w:rsidRDefault="00015EDA" w:rsidP="00015EDA"/>
    <w:p w:rsidR="00015EDA" w:rsidRDefault="00015EDA" w:rsidP="00015EDA">
      <w:pPr>
        <w:pStyle w:val="Caption"/>
        <w:framePr w:hSpace="180" w:wrap="around" w:vAnchor="text" w:hAnchor="page" w:x="5330" w:y="4848"/>
        <w:jc w:val="center"/>
      </w:pPr>
      <w:r>
        <w:t xml:space="preserve">Figure </w:t>
      </w:r>
      <w:r w:rsidR="006566FB">
        <w:fldChar w:fldCharType="begin"/>
      </w:r>
      <w:r w:rsidR="006566FB">
        <w:instrText xml:space="preserve"> SEQ Figure \* ARABIC </w:instrText>
      </w:r>
      <w:r w:rsidR="006566FB">
        <w:fldChar w:fldCharType="separate"/>
      </w:r>
      <w:r>
        <w:rPr>
          <w:noProof/>
        </w:rPr>
        <w:t>4</w:t>
      </w:r>
      <w:r w:rsidR="006566FB">
        <w:rPr>
          <w:noProof/>
        </w:rPr>
        <w:fldChar w:fldCharType="end"/>
      </w:r>
      <w:r>
        <w:t>: Risk Register Results</w:t>
      </w:r>
    </w:p>
    <w:p w:rsidR="00015EDA" w:rsidRPr="003C21F7" w:rsidRDefault="00015EDA" w:rsidP="00015EDA"/>
    <w:p w:rsidR="00015EDA" w:rsidRPr="00D67783" w:rsidRDefault="00015EDA" w:rsidP="00015EDA">
      <w:pPr>
        <w:pStyle w:val="Heading1"/>
      </w:pPr>
      <w:bookmarkStart w:id="10" w:name="_Toc463540061"/>
      <w:r>
        <w:t xml:space="preserve">5. </w:t>
      </w:r>
      <w:r w:rsidRPr="00D67783">
        <w:t>Project plan</w:t>
      </w:r>
      <w:bookmarkEnd w:id="10"/>
    </w:p>
    <w:p w:rsidR="00015EDA" w:rsidRPr="00D67783" w:rsidRDefault="00015EDA" w:rsidP="00015EDA">
      <w:pPr>
        <w:pStyle w:val="Heading2"/>
        <w:ind w:firstLine="720"/>
      </w:pPr>
      <w:bookmarkStart w:id="11" w:name="_Toc463540062"/>
      <w:r>
        <w:t xml:space="preserve">5.1 </w:t>
      </w:r>
      <w:r w:rsidRPr="00D67783">
        <w:t>Introduction</w:t>
      </w:r>
      <w:bookmarkEnd w:id="11"/>
    </w:p>
    <w:p w:rsidR="00015EDA" w:rsidRDefault="00015EDA" w:rsidP="00015EDA">
      <w:pPr>
        <w:pStyle w:val="NormalWeb"/>
        <w:spacing w:before="0" w:beforeAutospacing="0" w:after="160" w:afterAutospacing="0"/>
        <w:jc w:val="both"/>
      </w:pPr>
      <w:r>
        <w:rPr>
          <w:rFonts w:ascii="Calibri" w:hAnsi="Calibri"/>
          <w:color w:val="000000"/>
          <w:sz w:val="22"/>
          <w:szCs w:val="22"/>
        </w:rPr>
        <w:t>The Project has been broken down into three phases. Each phase has been broken down into a number of key sections.</w:t>
      </w:r>
    </w:p>
    <w:p w:rsidR="00015EDA" w:rsidRPr="00D67783" w:rsidRDefault="00015EDA" w:rsidP="00015EDA">
      <w:pPr>
        <w:pStyle w:val="Heading2"/>
        <w:ind w:firstLine="720"/>
        <w:jc w:val="both"/>
      </w:pPr>
      <w:bookmarkStart w:id="12" w:name="_Toc463540063"/>
      <w:r>
        <w:t xml:space="preserve">5.2 </w:t>
      </w:r>
      <w:r w:rsidRPr="00D67783">
        <w:t>Discussion of project plan</w:t>
      </w:r>
      <w:bookmarkEnd w:id="12"/>
    </w:p>
    <w:p w:rsidR="00015EDA" w:rsidRPr="005E37C2" w:rsidRDefault="00015EDA" w:rsidP="00015EDA">
      <w:pPr>
        <w:pStyle w:val="NormalWeb"/>
        <w:spacing w:before="0" w:beforeAutospacing="0" w:after="160" w:afterAutospacing="0"/>
        <w:jc w:val="both"/>
        <w:textAlignment w:val="baseline"/>
        <w:rPr>
          <w:rFonts w:ascii="Calibri" w:hAnsi="Calibri"/>
          <w:b/>
          <w:bCs/>
          <w:i/>
          <w:color w:val="000000"/>
          <w:sz w:val="22"/>
          <w:szCs w:val="22"/>
        </w:rPr>
      </w:pPr>
      <w:r>
        <w:rPr>
          <w:rFonts w:ascii="Calibri" w:hAnsi="Calibri"/>
          <w:b/>
          <w:bCs/>
          <w:color w:val="000000"/>
          <w:sz w:val="22"/>
          <w:szCs w:val="22"/>
        </w:rPr>
        <w:t xml:space="preserve">1. </w:t>
      </w:r>
      <w:r>
        <w:rPr>
          <w:rFonts w:ascii="Calibri" w:hAnsi="Calibri"/>
          <w:b/>
          <w:bCs/>
          <w:color w:val="000000"/>
          <w:sz w:val="22"/>
          <w:szCs w:val="22"/>
        </w:rPr>
        <w:tab/>
      </w:r>
      <w:r w:rsidRPr="005E37C2">
        <w:rPr>
          <w:rFonts w:ascii="Calibri" w:hAnsi="Calibri"/>
          <w:b/>
          <w:bCs/>
          <w:color w:val="000000"/>
          <w:sz w:val="22"/>
          <w:szCs w:val="22"/>
        </w:rPr>
        <w:t xml:space="preserve">Establishment phase </w:t>
      </w:r>
      <w:r w:rsidRPr="005E37C2">
        <w:rPr>
          <w:rFonts w:ascii="Calibri" w:hAnsi="Calibri"/>
          <w:b/>
          <w:bCs/>
          <w:i/>
          <w:color w:val="000000"/>
          <w:sz w:val="22"/>
          <w:szCs w:val="22"/>
        </w:rPr>
        <w:t>07/09/2016 – 09/10/2017</w:t>
      </w:r>
    </w:p>
    <w:p w:rsidR="00015EDA" w:rsidRDefault="00015EDA" w:rsidP="00015EDA">
      <w:pPr>
        <w:pStyle w:val="NormalWeb"/>
        <w:spacing w:before="0" w:beforeAutospacing="0" w:after="160" w:afterAutospacing="0"/>
        <w:jc w:val="both"/>
      </w:pPr>
      <w:r>
        <w:rPr>
          <w:rFonts w:ascii="Calibri" w:hAnsi="Calibri"/>
          <w:color w:val="000000"/>
          <w:sz w:val="22"/>
          <w:szCs w:val="22"/>
        </w:rPr>
        <w:t>The first of three phases is all about building relationships with the relevant groups in New Zealand as well as continuing improvement of system components with the mind-set of establishing a prototype system.</w:t>
      </w:r>
    </w:p>
    <w:p w:rsidR="00015EDA" w:rsidRDefault="00015EDA" w:rsidP="00015EDA">
      <w:pPr>
        <w:pStyle w:val="NormalWeb"/>
        <w:numPr>
          <w:ilvl w:val="0"/>
          <w:numId w:val="31"/>
        </w:numPr>
        <w:spacing w:before="0" w:beforeAutospacing="0" w:after="0" w:afterAutospacing="0"/>
        <w:jc w:val="both"/>
        <w:textAlignment w:val="baseline"/>
        <w:rPr>
          <w:rFonts w:ascii="Calibri" w:hAnsi="Calibri"/>
          <w:b/>
          <w:bCs/>
          <w:color w:val="000000"/>
          <w:sz w:val="22"/>
          <w:szCs w:val="22"/>
        </w:rPr>
      </w:pPr>
      <w:r>
        <w:rPr>
          <w:rFonts w:ascii="Calibri" w:hAnsi="Calibri"/>
          <w:b/>
          <w:bCs/>
          <w:color w:val="000000"/>
          <w:sz w:val="22"/>
          <w:szCs w:val="22"/>
        </w:rPr>
        <w:t>Prioritising Goals:</w:t>
      </w:r>
      <w:r>
        <w:rPr>
          <w:rFonts w:ascii="Calibri" w:hAnsi="Calibri"/>
          <w:color w:val="000000"/>
          <w:sz w:val="22"/>
          <w:szCs w:val="22"/>
        </w:rPr>
        <w:t xml:space="preserve"> Decide what goals the project wants to achieve. </w:t>
      </w:r>
    </w:p>
    <w:p w:rsidR="00015EDA" w:rsidRDefault="00015EDA" w:rsidP="00015EDA">
      <w:pPr>
        <w:pStyle w:val="NormalWeb"/>
        <w:numPr>
          <w:ilvl w:val="0"/>
          <w:numId w:val="31"/>
        </w:numPr>
        <w:spacing w:before="0" w:beforeAutospacing="0" w:after="0" w:afterAutospacing="0"/>
        <w:jc w:val="both"/>
        <w:textAlignment w:val="baseline"/>
        <w:rPr>
          <w:rFonts w:ascii="Calibri" w:hAnsi="Calibri"/>
          <w:b/>
          <w:bCs/>
          <w:color w:val="000000"/>
          <w:sz w:val="22"/>
          <w:szCs w:val="22"/>
        </w:rPr>
      </w:pPr>
      <w:r>
        <w:rPr>
          <w:rFonts w:ascii="Calibri" w:hAnsi="Calibri"/>
          <w:b/>
          <w:bCs/>
          <w:color w:val="000000"/>
          <w:sz w:val="22"/>
          <w:szCs w:val="22"/>
        </w:rPr>
        <w:t xml:space="preserve">Economic Analysis: </w:t>
      </w:r>
      <w:r>
        <w:rPr>
          <w:rFonts w:ascii="Calibri" w:hAnsi="Calibri"/>
          <w:color w:val="000000"/>
          <w:sz w:val="22"/>
          <w:szCs w:val="22"/>
        </w:rPr>
        <w:t>Investigate New Zealand and International applications of biogas methanol production, compare project to existing systems to explain benefits and cost.</w:t>
      </w:r>
    </w:p>
    <w:p w:rsidR="00015EDA" w:rsidRDefault="00015EDA" w:rsidP="00015EDA">
      <w:pPr>
        <w:pStyle w:val="NormalWeb"/>
        <w:numPr>
          <w:ilvl w:val="0"/>
          <w:numId w:val="31"/>
        </w:numPr>
        <w:spacing w:before="0" w:beforeAutospacing="0" w:after="0" w:afterAutospacing="0"/>
        <w:jc w:val="both"/>
        <w:textAlignment w:val="baseline"/>
        <w:rPr>
          <w:rFonts w:ascii="Calibri" w:hAnsi="Calibri"/>
          <w:b/>
          <w:bCs/>
          <w:color w:val="000000"/>
          <w:sz w:val="22"/>
          <w:szCs w:val="22"/>
        </w:rPr>
      </w:pPr>
      <w:r>
        <w:rPr>
          <w:rFonts w:ascii="Calibri" w:hAnsi="Calibri"/>
          <w:b/>
          <w:bCs/>
          <w:color w:val="000000"/>
          <w:sz w:val="22"/>
          <w:szCs w:val="22"/>
        </w:rPr>
        <w:t>Market Analysis</w:t>
      </w:r>
      <w:r>
        <w:rPr>
          <w:rFonts w:ascii="Calibri" w:hAnsi="Calibri"/>
          <w:color w:val="000000"/>
          <w:sz w:val="22"/>
          <w:szCs w:val="22"/>
        </w:rPr>
        <w:t>: Investigate the biogas market in New Zealand, focusing on utilising manure from dairy farms. Focus initially on current potential economically viable sites with incentives from local government to pursue this type of project. Keep an up to date directory on market developments.</w:t>
      </w:r>
    </w:p>
    <w:p w:rsidR="00015EDA" w:rsidRDefault="00015EDA" w:rsidP="00015EDA">
      <w:pPr>
        <w:pStyle w:val="NormalWeb"/>
        <w:numPr>
          <w:ilvl w:val="0"/>
          <w:numId w:val="31"/>
        </w:numPr>
        <w:spacing w:before="0" w:beforeAutospacing="0" w:after="0" w:afterAutospacing="0"/>
        <w:jc w:val="both"/>
        <w:textAlignment w:val="baseline"/>
        <w:rPr>
          <w:rFonts w:ascii="Calibri" w:hAnsi="Calibri"/>
          <w:b/>
          <w:bCs/>
          <w:color w:val="000000"/>
          <w:sz w:val="22"/>
          <w:szCs w:val="22"/>
        </w:rPr>
      </w:pPr>
      <w:r>
        <w:rPr>
          <w:rFonts w:ascii="Calibri" w:hAnsi="Calibri"/>
          <w:b/>
          <w:bCs/>
          <w:color w:val="000000"/>
          <w:sz w:val="22"/>
          <w:szCs w:val="22"/>
        </w:rPr>
        <w:t xml:space="preserve">Knowledge sharing: </w:t>
      </w:r>
      <w:r>
        <w:rPr>
          <w:rFonts w:ascii="Calibri" w:hAnsi="Calibri"/>
          <w:color w:val="000000"/>
          <w:sz w:val="22"/>
          <w:szCs w:val="22"/>
        </w:rPr>
        <w:t>Inform and share knowledge to government (local and national) as well as Farmers who could potential benefit from system.</w:t>
      </w:r>
    </w:p>
    <w:p w:rsidR="00015EDA" w:rsidRDefault="00015EDA" w:rsidP="00015EDA">
      <w:pPr>
        <w:pStyle w:val="NormalWeb"/>
        <w:numPr>
          <w:ilvl w:val="0"/>
          <w:numId w:val="31"/>
        </w:numPr>
        <w:spacing w:before="0" w:beforeAutospacing="0" w:after="0" w:afterAutospacing="0"/>
        <w:jc w:val="both"/>
        <w:textAlignment w:val="baseline"/>
        <w:rPr>
          <w:rFonts w:ascii="Calibri" w:hAnsi="Calibri"/>
          <w:b/>
          <w:bCs/>
          <w:color w:val="000000"/>
          <w:sz w:val="22"/>
          <w:szCs w:val="22"/>
        </w:rPr>
      </w:pPr>
      <w:r>
        <w:rPr>
          <w:rFonts w:ascii="Calibri" w:hAnsi="Calibri"/>
          <w:b/>
          <w:bCs/>
          <w:color w:val="000000"/>
          <w:sz w:val="22"/>
          <w:szCs w:val="22"/>
        </w:rPr>
        <w:t>Funding of Project:</w:t>
      </w:r>
      <w:r>
        <w:rPr>
          <w:rFonts w:ascii="Calibri" w:hAnsi="Calibri"/>
          <w:color w:val="000000"/>
          <w:sz w:val="22"/>
          <w:szCs w:val="22"/>
        </w:rPr>
        <w:t xml:space="preserve"> Look to secure funding for project, first looking towards government to see if there are any cash incentives that can be utilised, then finance the rest of the project through investors or company capital. </w:t>
      </w:r>
    </w:p>
    <w:p w:rsidR="00015EDA" w:rsidRDefault="00015EDA" w:rsidP="00015EDA">
      <w:pPr>
        <w:pStyle w:val="NormalWeb"/>
        <w:numPr>
          <w:ilvl w:val="0"/>
          <w:numId w:val="31"/>
        </w:numPr>
        <w:spacing w:before="0" w:beforeAutospacing="0" w:after="0" w:afterAutospacing="0"/>
        <w:jc w:val="both"/>
        <w:textAlignment w:val="baseline"/>
        <w:rPr>
          <w:rFonts w:ascii="Calibri" w:hAnsi="Calibri"/>
          <w:b/>
          <w:bCs/>
          <w:color w:val="000000"/>
          <w:sz w:val="22"/>
          <w:szCs w:val="22"/>
        </w:rPr>
      </w:pPr>
      <w:r>
        <w:rPr>
          <w:rFonts w:ascii="Calibri" w:hAnsi="Calibri"/>
          <w:b/>
          <w:bCs/>
          <w:color w:val="000000"/>
          <w:sz w:val="22"/>
          <w:szCs w:val="22"/>
        </w:rPr>
        <w:t xml:space="preserve">Regulations: </w:t>
      </w:r>
      <w:r>
        <w:rPr>
          <w:rFonts w:ascii="Calibri" w:hAnsi="Calibri"/>
          <w:color w:val="000000"/>
          <w:sz w:val="22"/>
          <w:szCs w:val="22"/>
        </w:rPr>
        <w:t>Engage with law makers and regional councils to inform them of the benefits of the proposed system. Find out what laws and regulations the project would have to comply with.</w:t>
      </w:r>
    </w:p>
    <w:p w:rsidR="00015EDA" w:rsidRDefault="00015EDA" w:rsidP="00015EDA">
      <w:pPr>
        <w:pStyle w:val="NormalWeb"/>
        <w:numPr>
          <w:ilvl w:val="0"/>
          <w:numId w:val="31"/>
        </w:numPr>
        <w:spacing w:before="0" w:beforeAutospacing="0" w:after="0" w:afterAutospacing="0"/>
        <w:jc w:val="both"/>
        <w:textAlignment w:val="baseline"/>
        <w:rPr>
          <w:rFonts w:ascii="Calibri" w:hAnsi="Calibri"/>
          <w:b/>
          <w:bCs/>
          <w:color w:val="000000"/>
          <w:sz w:val="22"/>
          <w:szCs w:val="22"/>
        </w:rPr>
      </w:pPr>
      <w:r>
        <w:rPr>
          <w:rFonts w:ascii="Calibri" w:hAnsi="Calibri"/>
          <w:b/>
          <w:bCs/>
          <w:color w:val="000000"/>
          <w:sz w:val="22"/>
          <w:szCs w:val="22"/>
        </w:rPr>
        <w:t>Government Engagement</w:t>
      </w:r>
    </w:p>
    <w:p w:rsidR="00015EDA" w:rsidRDefault="00015EDA" w:rsidP="00015EDA">
      <w:pPr>
        <w:pStyle w:val="NormalWeb"/>
        <w:numPr>
          <w:ilvl w:val="2"/>
          <w:numId w:val="13"/>
        </w:numPr>
        <w:spacing w:before="0" w:beforeAutospacing="0" w:after="0" w:afterAutospacing="0"/>
        <w:ind w:left="2340"/>
        <w:jc w:val="both"/>
        <w:textAlignment w:val="baseline"/>
        <w:rPr>
          <w:rFonts w:ascii="Calibri" w:hAnsi="Calibri"/>
          <w:b/>
          <w:bCs/>
          <w:color w:val="000000"/>
          <w:sz w:val="22"/>
          <w:szCs w:val="22"/>
        </w:rPr>
      </w:pPr>
      <w:r>
        <w:rPr>
          <w:rFonts w:ascii="Calibri" w:hAnsi="Calibri"/>
          <w:color w:val="000000"/>
          <w:sz w:val="22"/>
          <w:szCs w:val="22"/>
        </w:rPr>
        <w:t>Energy point of view:</w:t>
      </w:r>
    </w:p>
    <w:p w:rsidR="00015EDA" w:rsidRDefault="00015EDA" w:rsidP="00015EDA">
      <w:pPr>
        <w:pStyle w:val="NormalWeb"/>
        <w:numPr>
          <w:ilvl w:val="3"/>
          <w:numId w:val="13"/>
        </w:numPr>
        <w:spacing w:before="0" w:beforeAutospacing="0" w:after="0" w:afterAutospacing="0"/>
        <w:jc w:val="both"/>
        <w:textAlignment w:val="baseline"/>
        <w:rPr>
          <w:rFonts w:ascii="Calibri" w:hAnsi="Calibri"/>
          <w:b/>
          <w:bCs/>
          <w:color w:val="000000"/>
          <w:sz w:val="22"/>
          <w:szCs w:val="22"/>
        </w:rPr>
      </w:pPr>
      <w:r>
        <w:rPr>
          <w:rFonts w:ascii="Calibri" w:hAnsi="Calibri"/>
          <w:color w:val="000000"/>
          <w:sz w:val="22"/>
          <w:szCs w:val="22"/>
        </w:rPr>
        <w:t>Potential for tax breaks for eco-friendly biofuels</w:t>
      </w:r>
    </w:p>
    <w:p w:rsidR="00015EDA" w:rsidRDefault="00015EDA" w:rsidP="00015EDA">
      <w:pPr>
        <w:pStyle w:val="NormalWeb"/>
        <w:numPr>
          <w:ilvl w:val="3"/>
          <w:numId w:val="13"/>
        </w:numPr>
        <w:spacing w:before="0" w:beforeAutospacing="0" w:after="0" w:afterAutospacing="0"/>
        <w:jc w:val="both"/>
        <w:textAlignment w:val="baseline"/>
        <w:rPr>
          <w:rFonts w:ascii="Calibri" w:hAnsi="Calibri"/>
          <w:b/>
          <w:bCs/>
          <w:color w:val="000000"/>
          <w:sz w:val="22"/>
          <w:szCs w:val="22"/>
        </w:rPr>
      </w:pPr>
      <w:r>
        <w:rPr>
          <w:rFonts w:ascii="Calibri" w:hAnsi="Calibri"/>
          <w:color w:val="000000"/>
          <w:sz w:val="22"/>
          <w:szCs w:val="22"/>
        </w:rPr>
        <w:lastRenderedPageBreak/>
        <w:t>Fuel security of New Zealand</w:t>
      </w:r>
    </w:p>
    <w:p w:rsidR="00015EDA" w:rsidRDefault="00015EDA" w:rsidP="00015EDA">
      <w:pPr>
        <w:pStyle w:val="NormalWeb"/>
        <w:numPr>
          <w:ilvl w:val="3"/>
          <w:numId w:val="13"/>
        </w:numPr>
        <w:spacing w:before="0" w:beforeAutospacing="0" w:after="0" w:afterAutospacing="0"/>
        <w:jc w:val="both"/>
        <w:textAlignment w:val="baseline"/>
        <w:rPr>
          <w:rFonts w:ascii="Calibri" w:hAnsi="Calibri"/>
          <w:b/>
          <w:bCs/>
          <w:color w:val="000000"/>
          <w:sz w:val="22"/>
          <w:szCs w:val="22"/>
        </w:rPr>
      </w:pPr>
      <w:r>
        <w:rPr>
          <w:rFonts w:ascii="Calibri" w:hAnsi="Calibri"/>
          <w:color w:val="000000"/>
          <w:sz w:val="22"/>
          <w:szCs w:val="22"/>
        </w:rPr>
        <w:t>Government pledge for 90% renewable energies by 2025</w:t>
      </w:r>
    </w:p>
    <w:p w:rsidR="00015EDA" w:rsidRDefault="00015EDA" w:rsidP="00015EDA">
      <w:pPr>
        <w:pStyle w:val="NormalWeb"/>
        <w:numPr>
          <w:ilvl w:val="3"/>
          <w:numId w:val="13"/>
        </w:numPr>
        <w:spacing w:before="0" w:beforeAutospacing="0" w:after="0" w:afterAutospacing="0"/>
        <w:jc w:val="both"/>
        <w:textAlignment w:val="baseline"/>
        <w:rPr>
          <w:rFonts w:ascii="Calibri" w:hAnsi="Calibri"/>
          <w:b/>
          <w:bCs/>
          <w:color w:val="000000"/>
          <w:sz w:val="22"/>
          <w:szCs w:val="22"/>
        </w:rPr>
      </w:pPr>
      <w:r>
        <w:rPr>
          <w:rFonts w:ascii="Calibri" w:hAnsi="Calibri"/>
          <w:color w:val="000000"/>
          <w:sz w:val="22"/>
          <w:szCs w:val="22"/>
        </w:rPr>
        <w:t>Clean heat codes and regulations</w:t>
      </w:r>
    </w:p>
    <w:p w:rsidR="00015EDA" w:rsidRDefault="00015EDA" w:rsidP="00015EDA">
      <w:pPr>
        <w:pStyle w:val="NormalWeb"/>
        <w:numPr>
          <w:ilvl w:val="3"/>
          <w:numId w:val="13"/>
        </w:numPr>
        <w:spacing w:before="0" w:beforeAutospacing="0" w:after="0" w:afterAutospacing="0"/>
        <w:jc w:val="both"/>
        <w:textAlignment w:val="baseline"/>
        <w:rPr>
          <w:rFonts w:ascii="Calibri" w:hAnsi="Calibri"/>
          <w:b/>
          <w:bCs/>
          <w:color w:val="000000"/>
          <w:sz w:val="22"/>
          <w:szCs w:val="22"/>
        </w:rPr>
      </w:pPr>
      <w:r>
        <w:rPr>
          <w:rFonts w:ascii="Calibri" w:hAnsi="Calibri"/>
          <w:color w:val="000000"/>
          <w:sz w:val="22"/>
          <w:szCs w:val="22"/>
        </w:rPr>
        <w:t>Emissions trading Scheme</w:t>
      </w:r>
    </w:p>
    <w:p w:rsidR="00015EDA" w:rsidRDefault="00015EDA" w:rsidP="00015EDA">
      <w:pPr>
        <w:pStyle w:val="NormalWeb"/>
        <w:numPr>
          <w:ilvl w:val="2"/>
          <w:numId w:val="13"/>
        </w:numPr>
        <w:spacing w:before="0" w:beforeAutospacing="0" w:after="0" w:afterAutospacing="0"/>
        <w:ind w:left="2340"/>
        <w:jc w:val="both"/>
        <w:textAlignment w:val="baseline"/>
        <w:rPr>
          <w:rFonts w:ascii="Calibri" w:hAnsi="Calibri"/>
          <w:b/>
          <w:bCs/>
          <w:color w:val="000000"/>
          <w:sz w:val="22"/>
          <w:szCs w:val="22"/>
        </w:rPr>
      </w:pPr>
      <w:r>
        <w:rPr>
          <w:rFonts w:ascii="Calibri" w:hAnsi="Calibri"/>
          <w:color w:val="000000"/>
          <w:sz w:val="22"/>
          <w:szCs w:val="22"/>
        </w:rPr>
        <w:t>Environmental point of view:</w:t>
      </w:r>
    </w:p>
    <w:p w:rsidR="00015EDA" w:rsidRDefault="00015EDA" w:rsidP="00015EDA">
      <w:pPr>
        <w:pStyle w:val="NormalWeb"/>
        <w:numPr>
          <w:ilvl w:val="3"/>
          <w:numId w:val="13"/>
        </w:numPr>
        <w:spacing w:before="0" w:beforeAutospacing="0" w:after="0" w:afterAutospacing="0"/>
        <w:jc w:val="both"/>
        <w:textAlignment w:val="baseline"/>
        <w:rPr>
          <w:rFonts w:ascii="Calibri" w:hAnsi="Calibri"/>
          <w:b/>
          <w:bCs/>
          <w:color w:val="000000"/>
          <w:sz w:val="22"/>
          <w:szCs w:val="22"/>
        </w:rPr>
      </w:pPr>
      <w:r>
        <w:rPr>
          <w:rFonts w:ascii="Calibri" w:hAnsi="Calibri"/>
          <w:color w:val="000000"/>
          <w:sz w:val="22"/>
          <w:szCs w:val="22"/>
        </w:rPr>
        <w:t>Waste management bill</w:t>
      </w:r>
    </w:p>
    <w:p w:rsidR="00015EDA" w:rsidRDefault="00015EDA" w:rsidP="00015EDA">
      <w:pPr>
        <w:pStyle w:val="NormalWeb"/>
        <w:numPr>
          <w:ilvl w:val="3"/>
          <w:numId w:val="13"/>
        </w:numPr>
        <w:spacing w:before="0" w:beforeAutospacing="0" w:after="0" w:afterAutospacing="0"/>
        <w:jc w:val="both"/>
        <w:textAlignment w:val="baseline"/>
        <w:rPr>
          <w:rFonts w:ascii="Calibri" w:hAnsi="Calibri"/>
          <w:b/>
          <w:bCs/>
          <w:color w:val="000000"/>
          <w:sz w:val="22"/>
          <w:szCs w:val="22"/>
        </w:rPr>
      </w:pPr>
      <w:r>
        <w:rPr>
          <w:rFonts w:ascii="Calibri" w:hAnsi="Calibri"/>
          <w:color w:val="000000"/>
          <w:sz w:val="22"/>
          <w:szCs w:val="22"/>
        </w:rPr>
        <w:t>Biogas capture mandates</w:t>
      </w:r>
    </w:p>
    <w:p w:rsidR="00015EDA" w:rsidRDefault="00015EDA" w:rsidP="00015EDA">
      <w:pPr>
        <w:pStyle w:val="NormalWeb"/>
        <w:numPr>
          <w:ilvl w:val="3"/>
          <w:numId w:val="13"/>
        </w:numPr>
        <w:spacing w:before="0" w:beforeAutospacing="0" w:after="0" w:afterAutospacing="0"/>
        <w:jc w:val="both"/>
        <w:textAlignment w:val="baseline"/>
        <w:rPr>
          <w:rFonts w:ascii="Calibri" w:hAnsi="Calibri"/>
          <w:b/>
          <w:bCs/>
          <w:color w:val="000000"/>
          <w:sz w:val="22"/>
          <w:szCs w:val="22"/>
        </w:rPr>
      </w:pPr>
      <w:r>
        <w:rPr>
          <w:rFonts w:ascii="Calibri" w:hAnsi="Calibri"/>
          <w:color w:val="000000"/>
          <w:sz w:val="22"/>
          <w:szCs w:val="22"/>
        </w:rPr>
        <w:t>Farm waste management codes</w:t>
      </w:r>
    </w:p>
    <w:p w:rsidR="00015EDA" w:rsidRDefault="00015EDA" w:rsidP="00015EDA">
      <w:pPr>
        <w:pStyle w:val="NormalWeb"/>
        <w:numPr>
          <w:ilvl w:val="3"/>
          <w:numId w:val="13"/>
        </w:numPr>
        <w:spacing w:before="0" w:beforeAutospacing="0" w:after="0" w:afterAutospacing="0"/>
        <w:jc w:val="both"/>
        <w:textAlignment w:val="baseline"/>
        <w:rPr>
          <w:rFonts w:ascii="Calibri" w:hAnsi="Calibri"/>
          <w:b/>
          <w:bCs/>
          <w:color w:val="000000"/>
          <w:sz w:val="22"/>
          <w:szCs w:val="22"/>
        </w:rPr>
      </w:pPr>
      <w:r>
        <w:rPr>
          <w:rFonts w:ascii="Calibri" w:hAnsi="Calibri"/>
          <w:color w:val="000000"/>
          <w:sz w:val="22"/>
          <w:szCs w:val="22"/>
        </w:rPr>
        <w:t>Local government guidelines</w:t>
      </w:r>
    </w:p>
    <w:p w:rsidR="00015EDA" w:rsidRDefault="00015EDA" w:rsidP="00015EDA">
      <w:pPr>
        <w:pStyle w:val="NormalWeb"/>
        <w:numPr>
          <w:ilvl w:val="0"/>
          <w:numId w:val="32"/>
        </w:numPr>
        <w:spacing w:before="0" w:beforeAutospacing="0" w:after="0" w:afterAutospacing="0"/>
        <w:jc w:val="both"/>
        <w:textAlignment w:val="baseline"/>
        <w:rPr>
          <w:rFonts w:ascii="Calibri" w:hAnsi="Calibri"/>
          <w:b/>
          <w:bCs/>
          <w:color w:val="000000"/>
          <w:sz w:val="22"/>
          <w:szCs w:val="22"/>
        </w:rPr>
      </w:pPr>
      <w:r>
        <w:rPr>
          <w:rFonts w:ascii="Calibri" w:hAnsi="Calibri"/>
          <w:b/>
          <w:bCs/>
          <w:color w:val="000000"/>
          <w:sz w:val="22"/>
          <w:szCs w:val="22"/>
        </w:rPr>
        <w:t xml:space="preserve">Build public opinion: </w:t>
      </w:r>
      <w:r>
        <w:rPr>
          <w:rFonts w:ascii="Calibri" w:hAnsi="Calibri"/>
          <w:color w:val="000000"/>
          <w:sz w:val="22"/>
          <w:szCs w:val="22"/>
        </w:rPr>
        <w:t>Invest in gaining public support for the project from an environmental standpoint</w:t>
      </w:r>
    </w:p>
    <w:p w:rsidR="00015EDA" w:rsidRDefault="00015EDA" w:rsidP="00015EDA">
      <w:pPr>
        <w:pStyle w:val="NormalWeb"/>
        <w:numPr>
          <w:ilvl w:val="0"/>
          <w:numId w:val="32"/>
        </w:numPr>
        <w:spacing w:before="0" w:beforeAutospacing="0" w:after="0" w:afterAutospacing="0"/>
        <w:jc w:val="both"/>
        <w:textAlignment w:val="baseline"/>
        <w:rPr>
          <w:rFonts w:ascii="Calibri" w:hAnsi="Calibri"/>
          <w:b/>
          <w:bCs/>
          <w:color w:val="000000"/>
          <w:sz w:val="22"/>
          <w:szCs w:val="22"/>
        </w:rPr>
      </w:pPr>
      <w:r>
        <w:rPr>
          <w:rFonts w:ascii="Calibri" w:hAnsi="Calibri"/>
          <w:b/>
          <w:bCs/>
          <w:color w:val="000000"/>
          <w:sz w:val="22"/>
          <w:szCs w:val="22"/>
        </w:rPr>
        <w:t xml:space="preserve">Research and development: </w:t>
      </w:r>
      <w:r>
        <w:rPr>
          <w:rFonts w:ascii="Calibri" w:hAnsi="Calibri"/>
          <w:color w:val="000000"/>
          <w:sz w:val="22"/>
          <w:szCs w:val="22"/>
        </w:rPr>
        <w:t>R&amp;D Methods of improving efficiencies and techniques used in the system.</w:t>
      </w:r>
    </w:p>
    <w:p w:rsidR="00015EDA" w:rsidRPr="00D67783" w:rsidRDefault="00015EDA" w:rsidP="00015EDA">
      <w:pPr>
        <w:pStyle w:val="NormalWeb"/>
        <w:numPr>
          <w:ilvl w:val="0"/>
          <w:numId w:val="32"/>
        </w:numPr>
        <w:spacing w:before="0" w:beforeAutospacing="0" w:after="160" w:afterAutospacing="0"/>
        <w:jc w:val="both"/>
        <w:textAlignment w:val="baseline"/>
        <w:rPr>
          <w:rFonts w:ascii="Calibri" w:hAnsi="Calibri"/>
          <w:color w:val="000000"/>
          <w:sz w:val="22"/>
          <w:szCs w:val="22"/>
        </w:rPr>
      </w:pPr>
      <w:r>
        <w:rPr>
          <w:rFonts w:ascii="Calibri" w:hAnsi="Calibri"/>
          <w:b/>
          <w:bCs/>
          <w:color w:val="000000"/>
          <w:sz w:val="22"/>
          <w:szCs w:val="22"/>
        </w:rPr>
        <w:t>Niche opportunities</w:t>
      </w:r>
      <w:r>
        <w:rPr>
          <w:rFonts w:ascii="Calibri" w:hAnsi="Calibri"/>
          <w:color w:val="000000"/>
          <w:sz w:val="22"/>
          <w:szCs w:val="22"/>
        </w:rPr>
        <w:t>: Identify niche opportunities that occur in New Zealand’s unique dairy industry</w:t>
      </w:r>
    </w:p>
    <w:p w:rsidR="00015EDA" w:rsidRPr="005E37C2" w:rsidRDefault="00015EDA" w:rsidP="00015EDA">
      <w:pPr>
        <w:pStyle w:val="NormalWeb"/>
        <w:numPr>
          <w:ilvl w:val="0"/>
          <w:numId w:val="14"/>
        </w:numPr>
        <w:spacing w:before="0" w:beforeAutospacing="0" w:after="0" w:afterAutospacing="0"/>
        <w:jc w:val="both"/>
        <w:textAlignment w:val="baseline"/>
        <w:rPr>
          <w:rFonts w:ascii="Calibri" w:hAnsi="Calibri"/>
          <w:b/>
          <w:bCs/>
          <w:color w:val="000000"/>
          <w:sz w:val="22"/>
          <w:szCs w:val="22"/>
        </w:rPr>
      </w:pPr>
      <w:r w:rsidRPr="005E37C2">
        <w:rPr>
          <w:rFonts w:ascii="Calibri" w:hAnsi="Calibri"/>
          <w:b/>
          <w:bCs/>
          <w:color w:val="000000"/>
          <w:sz w:val="22"/>
          <w:szCs w:val="22"/>
        </w:rPr>
        <w:t xml:space="preserve">Development Phase </w:t>
      </w:r>
      <w:r w:rsidRPr="005E37C2">
        <w:rPr>
          <w:rFonts w:ascii="Calibri" w:hAnsi="Calibri"/>
          <w:b/>
          <w:bCs/>
          <w:i/>
          <w:color w:val="000000"/>
          <w:sz w:val="22"/>
          <w:szCs w:val="22"/>
        </w:rPr>
        <w:t>09/10/2017 – 03/06/2019</w:t>
      </w:r>
    </w:p>
    <w:p w:rsidR="00015EDA" w:rsidRDefault="00015EDA" w:rsidP="00015EDA">
      <w:pPr>
        <w:pStyle w:val="NormalWeb"/>
        <w:spacing w:before="0" w:beforeAutospacing="0" w:after="0" w:afterAutospacing="0"/>
        <w:ind w:left="720"/>
        <w:jc w:val="both"/>
      </w:pPr>
      <w:r>
        <w:rPr>
          <w:rFonts w:ascii="Calibri" w:hAnsi="Calibri"/>
          <w:color w:val="000000"/>
          <w:sz w:val="22"/>
          <w:szCs w:val="22"/>
        </w:rPr>
        <w:t>The development phase of the project primarily focusses on establishing a prototype system involving around 10 farms. It also focuses on proving that the system is beneficial for the farmers involved in the business and for New Zealand as a whole.</w:t>
      </w:r>
    </w:p>
    <w:p w:rsidR="00015EDA" w:rsidRDefault="00015EDA" w:rsidP="00015EDA">
      <w:pPr>
        <w:pStyle w:val="NormalWeb"/>
        <w:numPr>
          <w:ilvl w:val="0"/>
          <w:numId w:val="33"/>
        </w:numPr>
        <w:spacing w:before="0" w:beforeAutospacing="0" w:after="0" w:afterAutospacing="0"/>
        <w:jc w:val="both"/>
        <w:textAlignment w:val="baseline"/>
        <w:rPr>
          <w:rFonts w:ascii="Calibri" w:hAnsi="Calibri"/>
          <w:b/>
          <w:bCs/>
          <w:color w:val="000000"/>
          <w:sz w:val="22"/>
          <w:szCs w:val="22"/>
        </w:rPr>
      </w:pPr>
      <w:r>
        <w:rPr>
          <w:rFonts w:ascii="Calibri" w:hAnsi="Calibri"/>
          <w:b/>
          <w:bCs/>
          <w:color w:val="000000"/>
          <w:sz w:val="22"/>
          <w:szCs w:val="22"/>
        </w:rPr>
        <w:t xml:space="preserve">Demonstration of system: </w:t>
      </w:r>
      <w:r>
        <w:rPr>
          <w:rFonts w:ascii="Calibri" w:hAnsi="Calibri"/>
          <w:color w:val="000000"/>
          <w:sz w:val="22"/>
          <w:szCs w:val="22"/>
        </w:rPr>
        <w:t>Showcase the potential system as well as the uses for methanol e.g. motorised transport, electricity generation.</w:t>
      </w:r>
    </w:p>
    <w:p w:rsidR="00015EDA" w:rsidRDefault="00015EDA" w:rsidP="00015EDA">
      <w:pPr>
        <w:pStyle w:val="NormalWeb"/>
        <w:numPr>
          <w:ilvl w:val="0"/>
          <w:numId w:val="33"/>
        </w:numPr>
        <w:spacing w:before="0" w:beforeAutospacing="0" w:after="0" w:afterAutospacing="0"/>
        <w:jc w:val="both"/>
        <w:textAlignment w:val="baseline"/>
        <w:rPr>
          <w:rFonts w:ascii="Calibri" w:hAnsi="Calibri"/>
          <w:b/>
          <w:bCs/>
          <w:color w:val="000000"/>
          <w:sz w:val="22"/>
          <w:szCs w:val="22"/>
        </w:rPr>
      </w:pPr>
      <w:r>
        <w:rPr>
          <w:rFonts w:ascii="Calibri" w:hAnsi="Calibri"/>
          <w:b/>
          <w:bCs/>
          <w:color w:val="000000"/>
          <w:sz w:val="22"/>
          <w:szCs w:val="22"/>
        </w:rPr>
        <w:t xml:space="preserve">Developments of tools and guides: </w:t>
      </w:r>
      <w:r>
        <w:rPr>
          <w:rFonts w:ascii="Calibri" w:hAnsi="Calibri"/>
          <w:color w:val="000000"/>
          <w:sz w:val="22"/>
          <w:szCs w:val="22"/>
        </w:rPr>
        <w:t>Development of techniques and tools to maximise efficiency of system processes.</w:t>
      </w:r>
    </w:p>
    <w:p w:rsidR="00015EDA" w:rsidRDefault="00015EDA" w:rsidP="00015EDA">
      <w:pPr>
        <w:pStyle w:val="NormalWeb"/>
        <w:numPr>
          <w:ilvl w:val="0"/>
          <w:numId w:val="33"/>
        </w:numPr>
        <w:spacing w:before="0" w:beforeAutospacing="0" w:after="0" w:afterAutospacing="0"/>
        <w:jc w:val="both"/>
        <w:textAlignment w:val="baseline"/>
        <w:rPr>
          <w:rFonts w:ascii="Calibri" w:hAnsi="Calibri"/>
          <w:b/>
          <w:bCs/>
          <w:color w:val="000000"/>
          <w:sz w:val="22"/>
          <w:szCs w:val="22"/>
        </w:rPr>
      </w:pPr>
      <w:r>
        <w:rPr>
          <w:rFonts w:ascii="Calibri" w:hAnsi="Calibri"/>
          <w:b/>
          <w:bCs/>
          <w:color w:val="000000"/>
          <w:sz w:val="22"/>
          <w:szCs w:val="22"/>
        </w:rPr>
        <w:t>Rollout:</w:t>
      </w:r>
      <w:r>
        <w:rPr>
          <w:rFonts w:ascii="Calibri" w:hAnsi="Calibri"/>
          <w:color w:val="000000"/>
          <w:sz w:val="22"/>
          <w:szCs w:val="22"/>
        </w:rPr>
        <w:t xml:space="preserve"> Set up prototype system operating on a group of 10 farms.</w:t>
      </w:r>
    </w:p>
    <w:p w:rsidR="00015EDA" w:rsidRDefault="00015EDA" w:rsidP="00015EDA">
      <w:pPr>
        <w:pStyle w:val="NormalWeb"/>
        <w:numPr>
          <w:ilvl w:val="0"/>
          <w:numId w:val="33"/>
        </w:numPr>
        <w:spacing w:before="0" w:beforeAutospacing="0" w:after="0" w:afterAutospacing="0"/>
        <w:jc w:val="both"/>
        <w:textAlignment w:val="baseline"/>
        <w:rPr>
          <w:rFonts w:ascii="Calibri" w:hAnsi="Calibri"/>
          <w:b/>
          <w:bCs/>
          <w:color w:val="000000"/>
          <w:sz w:val="22"/>
          <w:szCs w:val="22"/>
        </w:rPr>
      </w:pPr>
      <w:r>
        <w:rPr>
          <w:rFonts w:ascii="Calibri" w:hAnsi="Calibri"/>
          <w:b/>
          <w:bCs/>
          <w:color w:val="000000"/>
          <w:sz w:val="22"/>
          <w:szCs w:val="22"/>
        </w:rPr>
        <w:t>Trans-regional partnerships:</w:t>
      </w:r>
      <w:r>
        <w:rPr>
          <w:rFonts w:ascii="Calibri" w:hAnsi="Calibri"/>
          <w:color w:val="000000"/>
          <w:sz w:val="22"/>
          <w:szCs w:val="22"/>
        </w:rPr>
        <w:t xml:space="preserve"> Push for partnerships between regions in using and transporting methanol product.</w:t>
      </w:r>
    </w:p>
    <w:p w:rsidR="00015EDA" w:rsidRDefault="00015EDA" w:rsidP="00015EDA">
      <w:pPr>
        <w:pStyle w:val="NormalWeb"/>
        <w:numPr>
          <w:ilvl w:val="0"/>
          <w:numId w:val="33"/>
        </w:numPr>
        <w:spacing w:before="0" w:beforeAutospacing="0" w:after="0" w:afterAutospacing="0"/>
        <w:jc w:val="both"/>
        <w:textAlignment w:val="baseline"/>
        <w:rPr>
          <w:rFonts w:ascii="Calibri" w:hAnsi="Calibri"/>
          <w:b/>
          <w:bCs/>
          <w:color w:val="000000"/>
          <w:sz w:val="22"/>
          <w:szCs w:val="22"/>
        </w:rPr>
      </w:pPr>
      <w:r>
        <w:rPr>
          <w:rFonts w:ascii="Calibri" w:hAnsi="Calibri"/>
          <w:b/>
          <w:bCs/>
          <w:color w:val="000000"/>
          <w:sz w:val="22"/>
          <w:szCs w:val="22"/>
        </w:rPr>
        <w:t xml:space="preserve">Good agricultural practice: </w:t>
      </w:r>
      <w:r>
        <w:rPr>
          <w:rFonts w:ascii="Calibri" w:hAnsi="Calibri"/>
          <w:color w:val="000000"/>
          <w:sz w:val="22"/>
          <w:szCs w:val="22"/>
        </w:rPr>
        <w:t>Push for environmentally friendly</w:t>
      </w:r>
      <w:r>
        <w:rPr>
          <w:rFonts w:ascii="Calibri" w:hAnsi="Calibri"/>
          <w:b/>
          <w:bCs/>
          <w:color w:val="000000"/>
          <w:sz w:val="22"/>
          <w:szCs w:val="22"/>
        </w:rPr>
        <w:t xml:space="preserve"> </w:t>
      </w:r>
      <w:r>
        <w:rPr>
          <w:rFonts w:ascii="Calibri" w:hAnsi="Calibri"/>
          <w:color w:val="000000"/>
          <w:sz w:val="22"/>
          <w:szCs w:val="22"/>
        </w:rPr>
        <w:t>practices like cleaning up streams, look for solutions to the problem of effluent run-off and disposal.</w:t>
      </w:r>
    </w:p>
    <w:p w:rsidR="00015EDA" w:rsidRDefault="00015EDA" w:rsidP="00015EDA">
      <w:pPr>
        <w:pStyle w:val="NormalWeb"/>
        <w:numPr>
          <w:ilvl w:val="0"/>
          <w:numId w:val="33"/>
        </w:numPr>
        <w:spacing w:before="0" w:beforeAutospacing="0" w:after="0" w:afterAutospacing="0"/>
        <w:jc w:val="both"/>
        <w:textAlignment w:val="baseline"/>
        <w:rPr>
          <w:rFonts w:ascii="Calibri" w:hAnsi="Calibri"/>
          <w:b/>
          <w:bCs/>
          <w:color w:val="000000"/>
          <w:sz w:val="22"/>
          <w:szCs w:val="22"/>
        </w:rPr>
      </w:pPr>
      <w:r>
        <w:rPr>
          <w:rFonts w:ascii="Calibri" w:hAnsi="Calibri"/>
          <w:b/>
          <w:bCs/>
          <w:color w:val="000000"/>
          <w:sz w:val="22"/>
          <w:szCs w:val="22"/>
        </w:rPr>
        <w:t>Market Analysis:</w:t>
      </w:r>
      <w:r>
        <w:rPr>
          <w:rFonts w:ascii="Calibri" w:hAnsi="Calibri"/>
          <w:color w:val="000000"/>
          <w:sz w:val="22"/>
          <w:szCs w:val="22"/>
        </w:rPr>
        <w:t xml:space="preserve">  Establish potential for mass roll out of biogas recovery systems. If not already achieved in phase 1, find economically viable sites for systems across North Island.</w:t>
      </w:r>
    </w:p>
    <w:p w:rsidR="00015EDA" w:rsidRPr="00D67783" w:rsidRDefault="00015EDA" w:rsidP="00015EDA">
      <w:pPr>
        <w:pStyle w:val="NormalWeb"/>
        <w:numPr>
          <w:ilvl w:val="0"/>
          <w:numId w:val="33"/>
        </w:numPr>
        <w:spacing w:before="0" w:beforeAutospacing="0" w:after="160" w:afterAutospacing="0"/>
        <w:jc w:val="both"/>
        <w:textAlignment w:val="baseline"/>
        <w:rPr>
          <w:rFonts w:ascii="Calibri" w:hAnsi="Calibri"/>
          <w:b/>
          <w:bCs/>
          <w:color w:val="000000"/>
          <w:sz w:val="22"/>
          <w:szCs w:val="22"/>
        </w:rPr>
      </w:pPr>
      <w:r>
        <w:rPr>
          <w:rFonts w:ascii="Calibri" w:hAnsi="Calibri"/>
          <w:b/>
          <w:bCs/>
          <w:color w:val="000000"/>
          <w:sz w:val="22"/>
          <w:szCs w:val="22"/>
        </w:rPr>
        <w:t xml:space="preserve">Research and development programmes: </w:t>
      </w:r>
      <w:r>
        <w:rPr>
          <w:rFonts w:ascii="Calibri" w:hAnsi="Calibri"/>
          <w:color w:val="000000"/>
          <w:sz w:val="22"/>
          <w:szCs w:val="22"/>
        </w:rPr>
        <w:t xml:space="preserve">Strive to improve efficiencies of techniques to maximise economic potential. </w:t>
      </w:r>
    </w:p>
    <w:p w:rsidR="00015EDA" w:rsidRPr="005E37C2" w:rsidRDefault="00015EDA" w:rsidP="00015EDA">
      <w:pPr>
        <w:pStyle w:val="NormalWeb"/>
        <w:numPr>
          <w:ilvl w:val="0"/>
          <w:numId w:val="16"/>
        </w:numPr>
        <w:spacing w:before="0" w:beforeAutospacing="0" w:after="160" w:afterAutospacing="0"/>
        <w:jc w:val="both"/>
        <w:textAlignment w:val="baseline"/>
        <w:rPr>
          <w:rFonts w:ascii="Calibri" w:hAnsi="Calibri"/>
          <w:b/>
          <w:bCs/>
          <w:color w:val="000000"/>
          <w:sz w:val="22"/>
          <w:szCs w:val="22"/>
        </w:rPr>
      </w:pPr>
      <w:r w:rsidRPr="005E37C2">
        <w:rPr>
          <w:rFonts w:ascii="Calibri" w:hAnsi="Calibri"/>
          <w:b/>
          <w:bCs/>
          <w:color w:val="000000"/>
          <w:sz w:val="22"/>
          <w:szCs w:val="22"/>
        </w:rPr>
        <w:t xml:space="preserve">Expansion Phase </w:t>
      </w:r>
      <w:r w:rsidRPr="005E37C2">
        <w:rPr>
          <w:rFonts w:ascii="Calibri" w:hAnsi="Calibri"/>
          <w:b/>
          <w:bCs/>
          <w:i/>
          <w:color w:val="000000"/>
          <w:sz w:val="22"/>
          <w:szCs w:val="22"/>
        </w:rPr>
        <w:t>04/06/2019 – 08/09/2027</w:t>
      </w:r>
    </w:p>
    <w:p w:rsidR="00015EDA" w:rsidRDefault="00015EDA" w:rsidP="00015EDA">
      <w:pPr>
        <w:pStyle w:val="NormalWeb"/>
        <w:spacing w:before="0" w:beforeAutospacing="0" w:after="160" w:afterAutospacing="0"/>
        <w:jc w:val="both"/>
      </w:pPr>
      <w:r>
        <w:rPr>
          <w:rFonts w:ascii="Calibri" w:hAnsi="Calibri"/>
          <w:color w:val="000000"/>
          <w:sz w:val="22"/>
          <w:szCs w:val="22"/>
        </w:rPr>
        <w:t>The third and final phase of the project is expanding the project across the whole of New Zealand by capitalising on the planned success of the prototype system. A continuation of investment into R&amp;D to minimise maintenance costs for existing systems will also take place.</w:t>
      </w:r>
    </w:p>
    <w:p w:rsidR="00015EDA" w:rsidRDefault="00015EDA" w:rsidP="00015EDA">
      <w:pPr>
        <w:pStyle w:val="NormalWeb"/>
        <w:numPr>
          <w:ilvl w:val="0"/>
          <w:numId w:val="34"/>
        </w:numPr>
        <w:spacing w:before="0" w:beforeAutospacing="0" w:after="0" w:afterAutospacing="0"/>
        <w:jc w:val="both"/>
        <w:textAlignment w:val="baseline"/>
        <w:rPr>
          <w:rFonts w:ascii="Calibri" w:hAnsi="Calibri"/>
          <w:b/>
          <w:bCs/>
          <w:color w:val="000000"/>
          <w:sz w:val="22"/>
          <w:szCs w:val="22"/>
        </w:rPr>
      </w:pPr>
      <w:r>
        <w:rPr>
          <w:rFonts w:ascii="Calibri" w:hAnsi="Calibri"/>
          <w:b/>
          <w:bCs/>
          <w:color w:val="000000"/>
          <w:sz w:val="22"/>
          <w:szCs w:val="22"/>
        </w:rPr>
        <w:t>R&amp;D Support mechanisms and regulation:</w:t>
      </w:r>
      <w:r>
        <w:rPr>
          <w:rFonts w:ascii="Calibri" w:hAnsi="Calibri"/>
          <w:color w:val="000000"/>
          <w:sz w:val="22"/>
          <w:szCs w:val="22"/>
        </w:rPr>
        <w:t xml:space="preserve"> Set up network to support existing systems to try and minimise maintenance costs.</w:t>
      </w:r>
    </w:p>
    <w:p w:rsidR="00015EDA" w:rsidRDefault="00015EDA" w:rsidP="00015EDA">
      <w:pPr>
        <w:pStyle w:val="NormalWeb"/>
        <w:numPr>
          <w:ilvl w:val="0"/>
          <w:numId w:val="34"/>
        </w:numPr>
        <w:spacing w:before="0" w:beforeAutospacing="0" w:after="0" w:afterAutospacing="0"/>
        <w:jc w:val="both"/>
        <w:textAlignment w:val="baseline"/>
        <w:rPr>
          <w:rFonts w:ascii="Calibri" w:hAnsi="Calibri"/>
          <w:b/>
          <w:bCs/>
          <w:color w:val="000000"/>
          <w:sz w:val="22"/>
          <w:szCs w:val="22"/>
        </w:rPr>
      </w:pPr>
      <w:r>
        <w:rPr>
          <w:rFonts w:ascii="Calibri" w:hAnsi="Calibri"/>
          <w:b/>
          <w:bCs/>
          <w:color w:val="000000"/>
          <w:sz w:val="22"/>
          <w:szCs w:val="22"/>
        </w:rPr>
        <w:t>Natural Gas network for biogas:  </w:t>
      </w:r>
      <w:r>
        <w:rPr>
          <w:rFonts w:ascii="Calibri" w:hAnsi="Calibri"/>
          <w:color w:val="000000"/>
          <w:sz w:val="22"/>
          <w:szCs w:val="22"/>
        </w:rPr>
        <w:t>Set up or</w:t>
      </w:r>
      <w:r>
        <w:rPr>
          <w:rFonts w:ascii="Calibri" w:hAnsi="Calibri"/>
          <w:b/>
          <w:bCs/>
          <w:color w:val="000000"/>
          <w:sz w:val="22"/>
          <w:szCs w:val="22"/>
        </w:rPr>
        <w:t xml:space="preserve"> </w:t>
      </w:r>
      <w:r>
        <w:rPr>
          <w:rFonts w:ascii="Calibri" w:hAnsi="Calibri"/>
          <w:color w:val="000000"/>
          <w:sz w:val="22"/>
          <w:szCs w:val="22"/>
        </w:rPr>
        <w:t>join a natural gas network spanning across the North Island.</w:t>
      </w:r>
    </w:p>
    <w:p w:rsidR="00015EDA" w:rsidRDefault="00015EDA" w:rsidP="00015EDA">
      <w:pPr>
        <w:pStyle w:val="NormalWeb"/>
        <w:numPr>
          <w:ilvl w:val="0"/>
          <w:numId w:val="34"/>
        </w:numPr>
        <w:spacing w:before="0" w:beforeAutospacing="0" w:after="0" w:afterAutospacing="0"/>
        <w:jc w:val="both"/>
        <w:textAlignment w:val="baseline"/>
        <w:rPr>
          <w:rFonts w:ascii="Calibri" w:hAnsi="Calibri"/>
          <w:color w:val="000000"/>
          <w:sz w:val="22"/>
          <w:szCs w:val="22"/>
        </w:rPr>
      </w:pPr>
      <w:r>
        <w:rPr>
          <w:rFonts w:ascii="Calibri" w:hAnsi="Calibri"/>
          <w:b/>
          <w:bCs/>
          <w:color w:val="000000"/>
          <w:sz w:val="22"/>
          <w:szCs w:val="22"/>
        </w:rPr>
        <w:t xml:space="preserve">Substitution of fossil fuels: </w:t>
      </w:r>
      <w:r>
        <w:rPr>
          <w:rFonts w:ascii="Calibri" w:hAnsi="Calibri"/>
          <w:color w:val="000000"/>
          <w:sz w:val="22"/>
          <w:szCs w:val="22"/>
        </w:rPr>
        <w:t xml:space="preserve">Push for increased methanol usage across New Zealand. </w:t>
      </w:r>
    </w:p>
    <w:p w:rsidR="00015EDA" w:rsidRDefault="00015EDA" w:rsidP="00015EDA">
      <w:pPr>
        <w:pStyle w:val="NormalWeb"/>
        <w:numPr>
          <w:ilvl w:val="0"/>
          <w:numId w:val="34"/>
        </w:numPr>
        <w:spacing w:before="0" w:beforeAutospacing="0" w:after="0" w:afterAutospacing="0"/>
        <w:jc w:val="both"/>
        <w:textAlignment w:val="baseline"/>
        <w:rPr>
          <w:rFonts w:ascii="Calibri" w:hAnsi="Calibri"/>
          <w:b/>
          <w:bCs/>
          <w:color w:val="000000"/>
          <w:sz w:val="22"/>
          <w:szCs w:val="22"/>
        </w:rPr>
      </w:pPr>
      <w:r>
        <w:rPr>
          <w:rFonts w:ascii="Calibri" w:hAnsi="Calibri"/>
          <w:b/>
          <w:bCs/>
          <w:color w:val="000000"/>
          <w:sz w:val="22"/>
          <w:szCs w:val="22"/>
        </w:rPr>
        <w:t xml:space="preserve">Rural sector scale-up: </w:t>
      </w:r>
      <w:r>
        <w:rPr>
          <w:rFonts w:ascii="Calibri" w:hAnsi="Calibri"/>
          <w:color w:val="000000"/>
          <w:sz w:val="22"/>
          <w:szCs w:val="22"/>
        </w:rPr>
        <w:t>Push for mainstream roll out among New Zealand Dairy farmers.</w:t>
      </w:r>
    </w:p>
    <w:p w:rsidR="00015EDA" w:rsidRDefault="00015EDA" w:rsidP="00015EDA">
      <w:pPr>
        <w:jc w:val="both"/>
      </w:pPr>
    </w:p>
    <w:p w:rsidR="00015EDA" w:rsidRDefault="00015EDA" w:rsidP="00015EDA">
      <w:pPr>
        <w:jc w:val="both"/>
      </w:pPr>
    </w:p>
    <w:p w:rsidR="00015EDA" w:rsidRDefault="00015EDA" w:rsidP="00015EDA">
      <w:pPr>
        <w:jc w:val="both"/>
      </w:pPr>
    </w:p>
    <w:p w:rsidR="00015EDA" w:rsidRPr="00D67783" w:rsidRDefault="00015EDA" w:rsidP="00015EDA">
      <w:pPr>
        <w:pStyle w:val="Heading1"/>
      </w:pPr>
      <w:bookmarkStart w:id="13" w:name="_Toc463540064"/>
      <w:r>
        <w:lastRenderedPageBreak/>
        <w:t xml:space="preserve">6. </w:t>
      </w:r>
      <w:r w:rsidRPr="00D67783">
        <w:t>Financial Feasibility</w:t>
      </w:r>
      <w:bookmarkEnd w:id="13"/>
    </w:p>
    <w:p w:rsidR="00015EDA" w:rsidRPr="00512E80" w:rsidRDefault="00015EDA" w:rsidP="00015EDA">
      <w:pPr>
        <w:pStyle w:val="Heading2"/>
        <w:ind w:firstLine="720"/>
      </w:pPr>
      <w:bookmarkStart w:id="14" w:name="_Toc463540065"/>
      <w:r>
        <w:t xml:space="preserve">6.1 </w:t>
      </w:r>
      <w:r w:rsidRPr="00512E80">
        <w:t>Introduction</w:t>
      </w:r>
      <w:bookmarkEnd w:id="14"/>
    </w:p>
    <w:p w:rsidR="00015EDA" w:rsidRDefault="00015EDA" w:rsidP="00015EDA">
      <w:pPr>
        <w:jc w:val="both"/>
      </w:pPr>
      <w:r>
        <w:t>Manure collection has not typically been practised on New Zealand dairy farms. However, if there is the opportunity to collect manure to help comply with increasingly stringent effluent disposal regulations, as well as potentially harvest energy from the methane gas and reduce odours, the company believes significant interest will arise from the dairy community. In addition, there are possibilities to use the high nitrogen contents of the manure to re-spread the collected manure, through existing irrigation equipment, to reduce dependency on externally sourced fertiliser.</w:t>
      </w:r>
    </w:p>
    <w:p w:rsidR="00015EDA" w:rsidRDefault="00015EDA" w:rsidP="00015EDA">
      <w:pPr>
        <w:jc w:val="both"/>
      </w:pPr>
      <w:r>
        <w:t>The company aims to create a contract with the farmers, who will purchase our equipment, to collect the methane from the biogas and create high value methanol for distribution to local and international companies for use as a base ingredient for many chemicals, bio-fuels, pharmaceuticals and other high-value products. This will be done through a centralised steam reforming plant, taking the biogas production of ten nearby dairy farms and steam reforming the methane into methanol, which is more easily stored and transported as it is a liquid at room temperature and pressure.</w:t>
      </w:r>
    </w:p>
    <w:p w:rsidR="00015EDA" w:rsidRDefault="00015EDA" w:rsidP="00015EDA">
      <w:pPr>
        <w:jc w:val="both"/>
      </w:pPr>
      <w:r>
        <w:t>The company will pay for the installation of the bio-processors on the farms. The benefits to the farmer include an improved environmental status as a result of reduced methane emissions and reduced effluent run off, as well as a reduction in fertiliser costs. Overall farm efficiencies will be improved through the implementation of these systems.</w:t>
      </w:r>
    </w:p>
    <w:p w:rsidR="00015EDA" w:rsidRDefault="00015EDA" w:rsidP="00015EDA">
      <w:pPr>
        <w:jc w:val="both"/>
      </w:pPr>
      <w:r>
        <w:t>The first operational plant, other than the prototype system, will be finished in 2019. The financial outlay up until this point will be $4,539,540.76.</w:t>
      </w:r>
    </w:p>
    <w:p w:rsidR="00015EDA" w:rsidRDefault="00015EDA" w:rsidP="00015EDA">
      <w:pPr>
        <w:pStyle w:val="Heading2"/>
        <w:ind w:firstLine="720"/>
      </w:pPr>
      <w:bookmarkStart w:id="15" w:name="_Toc463540066"/>
      <w:r>
        <w:t>6.2 Methanol plant</w:t>
      </w:r>
      <w:bookmarkEnd w:id="15"/>
    </w:p>
    <w:p w:rsidR="00015EDA" w:rsidRDefault="00015EDA" w:rsidP="00015EDA">
      <w:pPr>
        <w:jc w:val="both"/>
      </w:pPr>
      <w:r>
        <w:t>The methanol plant will be set up to process the biogas produced from ten farms. The expected feedstock from the dairy farm supply is 4.71 T/</w:t>
      </w:r>
      <w:proofErr w:type="spellStart"/>
      <w:r>
        <w:t>yr</w:t>
      </w:r>
      <w:proofErr w:type="spellEnd"/>
      <w:r>
        <w:t xml:space="preserve"> of methane. This is performed in the local New Zealand context with due considerations for environmental sustainability. The plant is designed assuming a 10-year plant life and 2016 hours of operation per annum.</w:t>
      </w:r>
    </w:p>
    <w:p w:rsidR="00015EDA" w:rsidRDefault="00015EDA" w:rsidP="00015EDA">
      <w:pPr>
        <w:pStyle w:val="Caption"/>
        <w:keepNext/>
        <w:jc w:val="center"/>
      </w:pPr>
      <w:r>
        <w:t xml:space="preserve">Table </w:t>
      </w:r>
      <w:r w:rsidR="006566FB">
        <w:fldChar w:fldCharType="begin"/>
      </w:r>
      <w:r w:rsidR="006566FB">
        <w:instrText xml:space="preserve"> SEQ Table \* ARABIC </w:instrText>
      </w:r>
      <w:r w:rsidR="006566FB">
        <w:fldChar w:fldCharType="separate"/>
      </w:r>
      <w:r>
        <w:rPr>
          <w:noProof/>
        </w:rPr>
        <w:t>1</w:t>
      </w:r>
      <w:r w:rsidR="006566FB">
        <w:rPr>
          <w:noProof/>
        </w:rPr>
        <w:fldChar w:fldCharType="end"/>
      </w:r>
      <w:r>
        <w:t>:</w:t>
      </w:r>
      <w:r w:rsidRPr="00C35C50">
        <w:t xml:space="preserve"> Financial Analysis Assumptions</w:t>
      </w:r>
    </w:p>
    <w:tbl>
      <w:tblPr>
        <w:tblStyle w:val="TableGrid"/>
        <w:tblW w:w="0" w:type="auto"/>
        <w:tblLook w:val="04A0" w:firstRow="1" w:lastRow="0" w:firstColumn="1" w:lastColumn="0" w:noHBand="0" w:noVBand="1"/>
      </w:tblPr>
      <w:tblGrid>
        <w:gridCol w:w="4508"/>
        <w:gridCol w:w="4508"/>
      </w:tblGrid>
      <w:tr w:rsidR="00015EDA" w:rsidTr="00015EDA">
        <w:tc>
          <w:tcPr>
            <w:tcW w:w="4508" w:type="dxa"/>
          </w:tcPr>
          <w:p w:rsidR="00015EDA" w:rsidRDefault="00015EDA" w:rsidP="00015EDA">
            <w:pPr>
              <w:jc w:val="both"/>
            </w:pPr>
            <w:r>
              <w:t>Inflation</w:t>
            </w:r>
          </w:p>
        </w:tc>
        <w:tc>
          <w:tcPr>
            <w:tcW w:w="4508" w:type="dxa"/>
          </w:tcPr>
          <w:p w:rsidR="00015EDA" w:rsidRDefault="00015EDA" w:rsidP="00015EDA">
            <w:pPr>
              <w:jc w:val="both"/>
            </w:pPr>
            <w:r>
              <w:t>3%</w:t>
            </w:r>
          </w:p>
        </w:tc>
      </w:tr>
      <w:tr w:rsidR="00015EDA" w:rsidTr="00015EDA">
        <w:tc>
          <w:tcPr>
            <w:tcW w:w="4508" w:type="dxa"/>
          </w:tcPr>
          <w:p w:rsidR="00015EDA" w:rsidRDefault="00015EDA" w:rsidP="00015EDA">
            <w:pPr>
              <w:jc w:val="both"/>
            </w:pPr>
            <w:r>
              <w:t>Marketing and administration</w:t>
            </w:r>
          </w:p>
        </w:tc>
        <w:tc>
          <w:tcPr>
            <w:tcW w:w="4508" w:type="dxa"/>
          </w:tcPr>
          <w:p w:rsidR="00015EDA" w:rsidRDefault="00015EDA" w:rsidP="00015EDA">
            <w:pPr>
              <w:jc w:val="both"/>
            </w:pPr>
            <w:r>
              <w:t>2%</w:t>
            </w:r>
          </w:p>
        </w:tc>
      </w:tr>
      <w:tr w:rsidR="00015EDA" w:rsidTr="00015EDA">
        <w:tc>
          <w:tcPr>
            <w:tcW w:w="4508" w:type="dxa"/>
          </w:tcPr>
          <w:p w:rsidR="00015EDA" w:rsidRDefault="00015EDA" w:rsidP="00015EDA">
            <w:pPr>
              <w:jc w:val="both"/>
            </w:pPr>
            <w:r>
              <w:t>Tax rate</w:t>
            </w:r>
          </w:p>
        </w:tc>
        <w:tc>
          <w:tcPr>
            <w:tcW w:w="4508" w:type="dxa"/>
          </w:tcPr>
          <w:p w:rsidR="00015EDA" w:rsidRDefault="00015EDA" w:rsidP="00015EDA">
            <w:pPr>
              <w:jc w:val="both"/>
            </w:pPr>
            <w:r>
              <w:t>28%</w:t>
            </w:r>
          </w:p>
        </w:tc>
      </w:tr>
      <w:tr w:rsidR="00015EDA" w:rsidTr="00015EDA">
        <w:tc>
          <w:tcPr>
            <w:tcW w:w="4508" w:type="dxa"/>
          </w:tcPr>
          <w:p w:rsidR="00015EDA" w:rsidRDefault="00015EDA" w:rsidP="00015EDA">
            <w:pPr>
              <w:jc w:val="both"/>
            </w:pPr>
            <w:r>
              <w:t>Initial global methanol price</w:t>
            </w:r>
          </w:p>
        </w:tc>
        <w:tc>
          <w:tcPr>
            <w:tcW w:w="4508" w:type="dxa"/>
          </w:tcPr>
          <w:p w:rsidR="00015EDA" w:rsidRDefault="00015EDA" w:rsidP="00015EDA">
            <w:pPr>
              <w:jc w:val="both"/>
            </w:pPr>
            <w:r>
              <w:t>$391.6755/MT</w:t>
            </w:r>
          </w:p>
        </w:tc>
      </w:tr>
      <w:tr w:rsidR="00015EDA" w:rsidTr="00015EDA">
        <w:tc>
          <w:tcPr>
            <w:tcW w:w="4508" w:type="dxa"/>
          </w:tcPr>
          <w:p w:rsidR="00015EDA" w:rsidRDefault="00015EDA" w:rsidP="00015EDA">
            <w:pPr>
              <w:jc w:val="both"/>
            </w:pPr>
            <w:r>
              <w:t>Total material cost</w:t>
            </w:r>
          </w:p>
        </w:tc>
        <w:tc>
          <w:tcPr>
            <w:tcW w:w="4508" w:type="dxa"/>
          </w:tcPr>
          <w:p w:rsidR="00015EDA" w:rsidRDefault="00015EDA" w:rsidP="00015EDA">
            <w:pPr>
              <w:tabs>
                <w:tab w:val="left" w:pos="924"/>
              </w:tabs>
              <w:jc w:val="both"/>
            </w:pPr>
            <w:r>
              <w:t>$2.56 million per plant</w:t>
            </w:r>
          </w:p>
        </w:tc>
      </w:tr>
      <w:tr w:rsidR="00015EDA" w:rsidTr="00015EDA">
        <w:tc>
          <w:tcPr>
            <w:tcW w:w="4508" w:type="dxa"/>
          </w:tcPr>
          <w:p w:rsidR="00015EDA" w:rsidRDefault="00015EDA" w:rsidP="00015EDA">
            <w:pPr>
              <w:jc w:val="both"/>
            </w:pPr>
            <w:r>
              <w:t>Calculated labour cost for set-up</w:t>
            </w:r>
          </w:p>
        </w:tc>
        <w:tc>
          <w:tcPr>
            <w:tcW w:w="4508" w:type="dxa"/>
          </w:tcPr>
          <w:p w:rsidR="00015EDA" w:rsidRDefault="00015EDA" w:rsidP="00015EDA">
            <w:pPr>
              <w:jc w:val="both"/>
            </w:pPr>
            <w:r>
              <w:t>$341,000</w:t>
            </w:r>
          </w:p>
        </w:tc>
      </w:tr>
      <w:tr w:rsidR="00015EDA" w:rsidTr="00015EDA">
        <w:tc>
          <w:tcPr>
            <w:tcW w:w="4508" w:type="dxa"/>
          </w:tcPr>
          <w:p w:rsidR="00015EDA" w:rsidRDefault="00015EDA" w:rsidP="00015EDA">
            <w:pPr>
              <w:jc w:val="both"/>
            </w:pPr>
            <w:r>
              <w:t>Operational cost (maintenance + labour)</w:t>
            </w:r>
          </w:p>
        </w:tc>
        <w:tc>
          <w:tcPr>
            <w:tcW w:w="4508" w:type="dxa"/>
          </w:tcPr>
          <w:p w:rsidR="00015EDA" w:rsidRDefault="00015EDA" w:rsidP="00015EDA">
            <w:pPr>
              <w:jc w:val="both"/>
            </w:pPr>
            <w:r>
              <w:t>10% of initial outlay</w:t>
            </w:r>
          </w:p>
        </w:tc>
      </w:tr>
    </w:tbl>
    <w:p w:rsidR="00015EDA" w:rsidRDefault="00015EDA" w:rsidP="00015EDA">
      <w:pPr>
        <w:jc w:val="both"/>
      </w:pPr>
    </w:p>
    <w:p w:rsidR="00015EDA" w:rsidRDefault="00015EDA" w:rsidP="00015EDA">
      <w:pPr>
        <w:jc w:val="both"/>
      </w:pPr>
      <w:r>
        <w:t>Estimates of future profits were conducted based on three scenarios – optimistic, expected and pessimistic. This was conducted by adjusting the efficiencies of the methanol plant and inflation of the price of methanol in future years. Maintenance costs were calculated to be 5% of initial cost of plant set-up per annum and labour costs for plant operation after set-up were calculated to be 10% of initial labour outlay. A plant overhaul, costing 50% of the original construction and labour costs, was carried out after 10 years to achieve another 10 years of service life. No new plants were commissioned after 10 years of company operation.</w:t>
      </w:r>
    </w:p>
    <w:p w:rsidR="00015EDA" w:rsidRDefault="00015EDA" w:rsidP="00015EDA">
      <w:pPr>
        <w:jc w:val="both"/>
      </w:pPr>
      <w:r>
        <w:t>Assumptions that apply to each individual case are listed below:</w:t>
      </w:r>
    </w:p>
    <w:p w:rsidR="00015EDA" w:rsidRDefault="00015EDA" w:rsidP="00015EDA">
      <w:pPr>
        <w:pStyle w:val="Caption"/>
        <w:keepNext/>
        <w:jc w:val="center"/>
      </w:pPr>
      <w:r>
        <w:lastRenderedPageBreak/>
        <w:t xml:space="preserve">Table </w:t>
      </w:r>
      <w:r w:rsidR="006566FB">
        <w:fldChar w:fldCharType="begin"/>
      </w:r>
      <w:r w:rsidR="006566FB">
        <w:instrText xml:space="preserve"> SEQ Table \* ARABIC </w:instrText>
      </w:r>
      <w:r w:rsidR="006566FB">
        <w:fldChar w:fldCharType="separate"/>
      </w:r>
      <w:r>
        <w:rPr>
          <w:noProof/>
        </w:rPr>
        <w:t>2</w:t>
      </w:r>
      <w:r w:rsidR="006566FB">
        <w:rPr>
          <w:noProof/>
        </w:rPr>
        <w:fldChar w:fldCharType="end"/>
      </w:r>
      <w:r>
        <w:t xml:space="preserve">: </w:t>
      </w:r>
      <w:r w:rsidRPr="009A23CD">
        <w:t>Assumptions for optimistic cash flow</w:t>
      </w:r>
    </w:p>
    <w:tbl>
      <w:tblPr>
        <w:tblStyle w:val="TableGrid"/>
        <w:tblW w:w="0" w:type="auto"/>
        <w:tblLook w:val="04A0" w:firstRow="1" w:lastRow="0" w:firstColumn="1" w:lastColumn="0" w:noHBand="0" w:noVBand="1"/>
      </w:tblPr>
      <w:tblGrid>
        <w:gridCol w:w="9016"/>
      </w:tblGrid>
      <w:tr w:rsidR="00015EDA" w:rsidTr="00015EDA">
        <w:tc>
          <w:tcPr>
            <w:tcW w:w="9016" w:type="dxa"/>
          </w:tcPr>
          <w:p w:rsidR="00015EDA" w:rsidRPr="00667ADB" w:rsidRDefault="00015EDA" w:rsidP="00015EDA">
            <w:pPr>
              <w:jc w:val="both"/>
              <w:rPr>
                <w:b/>
              </w:rPr>
            </w:pPr>
            <w:r w:rsidRPr="00667ADB">
              <w:rPr>
                <w:b/>
              </w:rPr>
              <w:t>Optimistic</w:t>
            </w:r>
          </w:p>
        </w:tc>
      </w:tr>
      <w:tr w:rsidR="00015EDA" w:rsidTr="00015EDA">
        <w:tc>
          <w:tcPr>
            <w:tcW w:w="9016" w:type="dxa"/>
          </w:tcPr>
          <w:p w:rsidR="00015EDA" w:rsidRDefault="00015EDA" w:rsidP="00015EDA">
            <w:pPr>
              <w:jc w:val="both"/>
            </w:pPr>
            <w:r>
              <w:t>Plant efficiency 30% (conversion of methane to methanol)</w:t>
            </w:r>
          </w:p>
        </w:tc>
      </w:tr>
      <w:tr w:rsidR="00015EDA" w:rsidTr="00015EDA">
        <w:tc>
          <w:tcPr>
            <w:tcW w:w="9016" w:type="dxa"/>
          </w:tcPr>
          <w:p w:rsidR="00015EDA" w:rsidRDefault="00015EDA" w:rsidP="00015EDA">
            <w:pPr>
              <w:jc w:val="both"/>
            </w:pPr>
            <w:r>
              <w:t>Peak Methanol Production of 17,053 MT/year</w:t>
            </w:r>
          </w:p>
        </w:tc>
      </w:tr>
      <w:tr w:rsidR="00015EDA" w:rsidTr="00015EDA">
        <w:tc>
          <w:tcPr>
            <w:tcW w:w="9016" w:type="dxa"/>
          </w:tcPr>
          <w:p w:rsidR="00015EDA" w:rsidRDefault="00015EDA" w:rsidP="00015EDA">
            <w:pPr>
              <w:jc w:val="both"/>
            </w:pPr>
            <w:r>
              <w:t>No unexpected outages</w:t>
            </w:r>
          </w:p>
        </w:tc>
      </w:tr>
      <w:tr w:rsidR="00015EDA" w:rsidTr="00015EDA">
        <w:tc>
          <w:tcPr>
            <w:tcW w:w="9016" w:type="dxa"/>
          </w:tcPr>
          <w:p w:rsidR="00015EDA" w:rsidRDefault="00015EDA" w:rsidP="00015EDA">
            <w:pPr>
              <w:jc w:val="both"/>
            </w:pPr>
            <w:r>
              <w:t>Constant methanol price inflation of 2% per annum</w:t>
            </w:r>
          </w:p>
        </w:tc>
      </w:tr>
      <w:tr w:rsidR="00015EDA" w:rsidTr="00015EDA">
        <w:tc>
          <w:tcPr>
            <w:tcW w:w="9016" w:type="dxa"/>
          </w:tcPr>
          <w:p w:rsidR="00015EDA" w:rsidRDefault="00015EDA" w:rsidP="00015EDA">
            <w:pPr>
              <w:jc w:val="both"/>
            </w:pPr>
            <w:r>
              <w:t>Currency inflation of 3% per annum</w:t>
            </w:r>
          </w:p>
        </w:tc>
      </w:tr>
      <w:tr w:rsidR="00015EDA" w:rsidTr="00015EDA">
        <w:tc>
          <w:tcPr>
            <w:tcW w:w="9016" w:type="dxa"/>
          </w:tcPr>
          <w:p w:rsidR="00015EDA" w:rsidRDefault="00015EDA" w:rsidP="00015EDA">
            <w:pPr>
              <w:jc w:val="both"/>
            </w:pPr>
            <w:r>
              <w:t>100 plants in 10 years</w:t>
            </w:r>
          </w:p>
        </w:tc>
      </w:tr>
    </w:tbl>
    <w:p w:rsidR="00015EDA" w:rsidRDefault="00015EDA" w:rsidP="00015EDA"/>
    <w:p w:rsidR="00015EDA" w:rsidRDefault="00015EDA" w:rsidP="00015EDA">
      <w:pPr>
        <w:pStyle w:val="Caption"/>
        <w:keepNext/>
        <w:jc w:val="center"/>
      </w:pPr>
      <w:r>
        <w:t xml:space="preserve">Table </w:t>
      </w:r>
      <w:r w:rsidR="006566FB">
        <w:fldChar w:fldCharType="begin"/>
      </w:r>
      <w:r w:rsidR="006566FB">
        <w:instrText xml:space="preserve"> SEQ Table \* ARABIC </w:instrText>
      </w:r>
      <w:r w:rsidR="006566FB">
        <w:fldChar w:fldCharType="separate"/>
      </w:r>
      <w:r>
        <w:rPr>
          <w:noProof/>
        </w:rPr>
        <w:t>3</w:t>
      </w:r>
      <w:r w:rsidR="006566FB">
        <w:rPr>
          <w:noProof/>
        </w:rPr>
        <w:fldChar w:fldCharType="end"/>
      </w:r>
      <w:r>
        <w:t>:</w:t>
      </w:r>
      <w:r w:rsidRPr="003712B5">
        <w:t xml:space="preserve"> Assumptions for Expected Cash Flow</w:t>
      </w:r>
    </w:p>
    <w:tbl>
      <w:tblPr>
        <w:tblStyle w:val="TableGrid"/>
        <w:tblW w:w="0" w:type="auto"/>
        <w:tblLook w:val="04A0" w:firstRow="1" w:lastRow="0" w:firstColumn="1" w:lastColumn="0" w:noHBand="0" w:noVBand="1"/>
      </w:tblPr>
      <w:tblGrid>
        <w:gridCol w:w="9016"/>
      </w:tblGrid>
      <w:tr w:rsidR="00015EDA" w:rsidTr="00015EDA">
        <w:tc>
          <w:tcPr>
            <w:tcW w:w="9016" w:type="dxa"/>
          </w:tcPr>
          <w:p w:rsidR="00015EDA" w:rsidRPr="003827D4" w:rsidRDefault="00015EDA" w:rsidP="00015EDA">
            <w:pPr>
              <w:jc w:val="both"/>
              <w:rPr>
                <w:b/>
              </w:rPr>
            </w:pPr>
            <w:r w:rsidRPr="003827D4">
              <w:rPr>
                <w:b/>
              </w:rPr>
              <w:t>Expected</w:t>
            </w:r>
          </w:p>
        </w:tc>
      </w:tr>
      <w:tr w:rsidR="00015EDA" w:rsidTr="00015EDA">
        <w:tc>
          <w:tcPr>
            <w:tcW w:w="9016" w:type="dxa"/>
          </w:tcPr>
          <w:p w:rsidR="00015EDA" w:rsidRDefault="00015EDA" w:rsidP="00015EDA">
            <w:pPr>
              <w:jc w:val="both"/>
            </w:pPr>
            <w:r>
              <w:t>Plant efficiency of 20% (conversion of methane to methanol)</w:t>
            </w:r>
          </w:p>
        </w:tc>
      </w:tr>
      <w:tr w:rsidR="00015EDA" w:rsidTr="00015EDA">
        <w:tc>
          <w:tcPr>
            <w:tcW w:w="9016" w:type="dxa"/>
          </w:tcPr>
          <w:p w:rsidR="00015EDA" w:rsidRDefault="00015EDA" w:rsidP="00015EDA">
            <w:pPr>
              <w:jc w:val="both"/>
            </w:pPr>
            <w:r>
              <w:t>Methanol Production of 11,370 MT/year</w:t>
            </w:r>
          </w:p>
        </w:tc>
      </w:tr>
      <w:tr w:rsidR="00015EDA" w:rsidTr="00015EDA">
        <w:tc>
          <w:tcPr>
            <w:tcW w:w="9016" w:type="dxa"/>
          </w:tcPr>
          <w:p w:rsidR="00015EDA" w:rsidRDefault="00015EDA" w:rsidP="00015EDA">
            <w:pPr>
              <w:jc w:val="both"/>
            </w:pPr>
            <w:r>
              <w:t>1 unexpected outage of 3 month duration</w:t>
            </w:r>
          </w:p>
        </w:tc>
      </w:tr>
      <w:tr w:rsidR="00015EDA" w:rsidTr="00015EDA">
        <w:tc>
          <w:tcPr>
            <w:tcW w:w="9016" w:type="dxa"/>
          </w:tcPr>
          <w:p w:rsidR="00015EDA" w:rsidRDefault="00015EDA" w:rsidP="00015EDA">
            <w:pPr>
              <w:jc w:val="both"/>
            </w:pPr>
            <w:r>
              <w:t>Constant methanol price inflation of 0%</w:t>
            </w:r>
          </w:p>
        </w:tc>
      </w:tr>
      <w:tr w:rsidR="00015EDA" w:rsidTr="00015EDA">
        <w:tc>
          <w:tcPr>
            <w:tcW w:w="9016" w:type="dxa"/>
          </w:tcPr>
          <w:p w:rsidR="00015EDA" w:rsidRDefault="00015EDA" w:rsidP="00015EDA">
            <w:r w:rsidRPr="00570E13">
              <w:t>Currency inflation of 3% per annum</w:t>
            </w:r>
          </w:p>
        </w:tc>
      </w:tr>
      <w:tr w:rsidR="00015EDA" w:rsidTr="00015EDA">
        <w:tc>
          <w:tcPr>
            <w:tcW w:w="9016" w:type="dxa"/>
          </w:tcPr>
          <w:p w:rsidR="00015EDA" w:rsidRDefault="00015EDA" w:rsidP="00015EDA">
            <w:pPr>
              <w:jc w:val="both"/>
            </w:pPr>
            <w:r>
              <w:t>60 plants in 10 years</w:t>
            </w:r>
          </w:p>
        </w:tc>
      </w:tr>
    </w:tbl>
    <w:p w:rsidR="00015EDA" w:rsidRDefault="00015EDA" w:rsidP="00015EDA"/>
    <w:p w:rsidR="00015EDA" w:rsidRDefault="00015EDA" w:rsidP="00015EDA">
      <w:pPr>
        <w:pStyle w:val="Caption"/>
        <w:keepNext/>
        <w:jc w:val="center"/>
      </w:pPr>
      <w:r>
        <w:t xml:space="preserve">Table </w:t>
      </w:r>
      <w:r w:rsidR="006566FB">
        <w:fldChar w:fldCharType="begin"/>
      </w:r>
      <w:r w:rsidR="006566FB">
        <w:instrText xml:space="preserve"> SEQ Table \* ARABIC </w:instrText>
      </w:r>
      <w:r w:rsidR="006566FB">
        <w:fldChar w:fldCharType="separate"/>
      </w:r>
      <w:r>
        <w:rPr>
          <w:noProof/>
        </w:rPr>
        <w:t>4</w:t>
      </w:r>
      <w:r w:rsidR="006566FB">
        <w:rPr>
          <w:noProof/>
        </w:rPr>
        <w:fldChar w:fldCharType="end"/>
      </w:r>
      <w:r>
        <w:t xml:space="preserve">: </w:t>
      </w:r>
      <w:r w:rsidRPr="00CD594A">
        <w:t>Assumptions for Pessimistic Cash Flow</w:t>
      </w:r>
    </w:p>
    <w:tbl>
      <w:tblPr>
        <w:tblStyle w:val="TableGrid"/>
        <w:tblW w:w="0" w:type="auto"/>
        <w:tblLook w:val="04A0" w:firstRow="1" w:lastRow="0" w:firstColumn="1" w:lastColumn="0" w:noHBand="0" w:noVBand="1"/>
      </w:tblPr>
      <w:tblGrid>
        <w:gridCol w:w="9016"/>
      </w:tblGrid>
      <w:tr w:rsidR="00015EDA" w:rsidTr="00015EDA">
        <w:tc>
          <w:tcPr>
            <w:tcW w:w="9016" w:type="dxa"/>
          </w:tcPr>
          <w:p w:rsidR="00015EDA" w:rsidRPr="003827D4" w:rsidRDefault="00015EDA" w:rsidP="00015EDA">
            <w:pPr>
              <w:jc w:val="both"/>
              <w:rPr>
                <w:b/>
              </w:rPr>
            </w:pPr>
            <w:r w:rsidRPr="003827D4">
              <w:rPr>
                <w:b/>
              </w:rPr>
              <w:t>Pessimistic</w:t>
            </w:r>
          </w:p>
        </w:tc>
      </w:tr>
      <w:tr w:rsidR="00015EDA" w:rsidTr="00015EDA">
        <w:tc>
          <w:tcPr>
            <w:tcW w:w="9016" w:type="dxa"/>
          </w:tcPr>
          <w:p w:rsidR="00015EDA" w:rsidRDefault="00015EDA" w:rsidP="00015EDA">
            <w:pPr>
              <w:jc w:val="both"/>
            </w:pPr>
            <w:r>
              <w:t>Plant efficiency of 15% (conversion of methane to methanol)</w:t>
            </w:r>
          </w:p>
        </w:tc>
      </w:tr>
      <w:tr w:rsidR="00015EDA" w:rsidTr="00015EDA">
        <w:tc>
          <w:tcPr>
            <w:tcW w:w="9016" w:type="dxa"/>
          </w:tcPr>
          <w:p w:rsidR="00015EDA" w:rsidRDefault="00015EDA" w:rsidP="00015EDA">
            <w:pPr>
              <w:jc w:val="both"/>
            </w:pPr>
            <w:r>
              <w:t>Methanol Production of 8,526 MT/year</w:t>
            </w:r>
          </w:p>
        </w:tc>
      </w:tr>
      <w:tr w:rsidR="00015EDA" w:rsidTr="00015EDA">
        <w:tc>
          <w:tcPr>
            <w:tcW w:w="9016" w:type="dxa"/>
          </w:tcPr>
          <w:p w:rsidR="00015EDA" w:rsidRDefault="00015EDA" w:rsidP="00015EDA">
            <w:pPr>
              <w:jc w:val="both"/>
            </w:pPr>
            <w:r>
              <w:t>2 unexpected outages of a total duration of 6 months</w:t>
            </w:r>
          </w:p>
        </w:tc>
      </w:tr>
      <w:tr w:rsidR="00015EDA" w:rsidTr="00015EDA">
        <w:tc>
          <w:tcPr>
            <w:tcW w:w="9016" w:type="dxa"/>
          </w:tcPr>
          <w:p w:rsidR="00015EDA" w:rsidRDefault="00015EDA" w:rsidP="00015EDA">
            <w:pPr>
              <w:jc w:val="both"/>
            </w:pPr>
            <w:r>
              <w:t>Constant methanol price inflation of -2% per annum</w:t>
            </w:r>
          </w:p>
        </w:tc>
      </w:tr>
      <w:tr w:rsidR="00015EDA" w:rsidTr="00015EDA">
        <w:tc>
          <w:tcPr>
            <w:tcW w:w="9016" w:type="dxa"/>
          </w:tcPr>
          <w:p w:rsidR="00015EDA" w:rsidRDefault="00015EDA" w:rsidP="00015EDA">
            <w:pPr>
              <w:jc w:val="both"/>
            </w:pPr>
            <w:r>
              <w:t>Currency inflation of 3% per annum</w:t>
            </w:r>
          </w:p>
        </w:tc>
      </w:tr>
      <w:tr w:rsidR="00015EDA" w:rsidTr="00015EDA">
        <w:tc>
          <w:tcPr>
            <w:tcW w:w="9016" w:type="dxa"/>
          </w:tcPr>
          <w:p w:rsidR="00015EDA" w:rsidRDefault="00015EDA" w:rsidP="00015EDA">
            <w:pPr>
              <w:jc w:val="both"/>
            </w:pPr>
            <w:r>
              <w:t>40 plants in 10 years</w:t>
            </w:r>
          </w:p>
        </w:tc>
      </w:tr>
    </w:tbl>
    <w:p w:rsidR="00015EDA" w:rsidRDefault="00015EDA" w:rsidP="00015EDA">
      <w:pPr>
        <w:jc w:val="center"/>
      </w:pPr>
      <w:r>
        <w:rPr>
          <w:noProof/>
          <w:lang w:eastAsia="en-NZ"/>
        </w:rPr>
        <mc:AlternateContent>
          <mc:Choice Requires="wps">
            <w:drawing>
              <wp:anchor distT="0" distB="0" distL="114300" distR="114300" simplePos="0" relativeHeight="251665408" behindDoc="0" locked="0" layoutInCell="1" allowOverlap="1" wp14:anchorId="744E8379" wp14:editId="0316B198">
                <wp:simplePos x="0" y="0"/>
                <wp:positionH relativeFrom="column">
                  <wp:posOffset>250825</wp:posOffset>
                </wp:positionH>
                <wp:positionV relativeFrom="paragraph">
                  <wp:posOffset>3350260</wp:posOffset>
                </wp:positionV>
                <wp:extent cx="527050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270500" cy="635"/>
                        </a:xfrm>
                        <a:prstGeom prst="rect">
                          <a:avLst/>
                        </a:prstGeom>
                        <a:solidFill>
                          <a:prstClr val="white"/>
                        </a:solidFill>
                        <a:ln>
                          <a:noFill/>
                        </a:ln>
                        <a:effectLst/>
                      </wps:spPr>
                      <wps:txbx>
                        <w:txbxContent>
                          <w:p w:rsidR="00015EDA" w:rsidRPr="003526D1" w:rsidRDefault="00015EDA" w:rsidP="00015EDA">
                            <w:pPr>
                              <w:pStyle w:val="Caption"/>
                              <w:jc w:val="center"/>
                              <w:rPr>
                                <w:noProof/>
                              </w:rPr>
                            </w:pPr>
                            <w:r>
                              <w:t xml:space="preserve">Figure </w:t>
                            </w:r>
                            <w:r w:rsidR="006566FB">
                              <w:fldChar w:fldCharType="begin"/>
                            </w:r>
                            <w:r w:rsidR="006566FB">
                              <w:instrText xml:space="preserve"> SEQ Figure \* ARABIC </w:instrText>
                            </w:r>
                            <w:r w:rsidR="006566FB">
                              <w:fldChar w:fldCharType="separate"/>
                            </w:r>
                            <w:r>
                              <w:rPr>
                                <w:noProof/>
                              </w:rPr>
                              <w:t>5</w:t>
                            </w:r>
                            <w:r w:rsidR="006566FB">
                              <w:rPr>
                                <w:noProof/>
                              </w:rPr>
                              <w:fldChar w:fldCharType="end"/>
                            </w:r>
                            <w:r>
                              <w:t>: Company Profit per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44E8379" id="_x0000_t202" coordsize="21600,21600" o:spt="202" path="m,l,21600r21600,l21600,xe">
                <v:stroke joinstyle="miter"/>
                <v:path gradientshapeok="t" o:connecttype="rect"/>
              </v:shapetype>
              <v:shape id="Text Box 7" o:spid="_x0000_s1026" type="#_x0000_t202" style="position:absolute;left:0;text-align:left;margin-left:19.75pt;margin-top:263.8pt;width:41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" stroked="f">
                <v:textbox style="mso-fit-shape-to-text:t" inset="0,0,0,0">
                  <w:txbxContent>
                    <w:p w:rsidR="00015EDA" w:rsidRPr="003526D1" w:rsidRDefault="00015EDA" w:rsidP="00015EDA">
                      <w:pPr>
                        <w:pStyle w:val="Caption"/>
                        <w:jc w:val="center"/>
                        <w:rPr>
                          <w:noProof/>
                        </w:rPr>
                      </w:pPr>
                      <w:r>
                        <w:t xml:space="preserve">Figure </w:t>
                      </w:r>
                      <w:fldSimple w:instr=" SEQ Figure \* ARABIC ">
                        <w:r>
                          <w:rPr>
                            <w:noProof/>
                          </w:rPr>
                          <w:t>5</w:t>
                        </w:r>
                      </w:fldSimple>
                      <w:r>
                        <w:t>: Company Profit per year</w:t>
                      </w:r>
                    </w:p>
                  </w:txbxContent>
                </v:textbox>
                <w10:wrap type="square"/>
              </v:shape>
            </w:pict>
          </mc:Fallback>
        </mc:AlternateContent>
      </w:r>
      <w:r>
        <w:rPr>
          <w:noProof/>
          <w:lang w:eastAsia="en-NZ"/>
        </w:rPr>
        <w:drawing>
          <wp:anchor distT="0" distB="0" distL="114300" distR="114300" simplePos="0" relativeHeight="251664384" behindDoc="1" locked="0" layoutInCell="1" allowOverlap="1" wp14:anchorId="18A7D8C8" wp14:editId="7A342BD9">
            <wp:simplePos x="0" y="0"/>
            <wp:positionH relativeFrom="margin">
              <wp:posOffset>251184</wp:posOffset>
            </wp:positionH>
            <wp:positionV relativeFrom="paragraph">
              <wp:posOffset>205602</wp:posOffset>
            </wp:positionV>
            <wp:extent cx="5270500" cy="3088005"/>
            <wp:effectExtent l="0" t="0" r="6350" b="17145"/>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015EDA" w:rsidRDefault="00015EDA" w:rsidP="00015EDA">
      <w:pPr>
        <w:jc w:val="center"/>
      </w:pPr>
      <w:r>
        <w:rPr>
          <w:noProof/>
          <w:lang w:eastAsia="en-NZ"/>
        </w:rPr>
        <w:lastRenderedPageBreak/>
        <w:drawing>
          <wp:anchor distT="0" distB="0" distL="114300" distR="114300" simplePos="0" relativeHeight="251667456" behindDoc="0" locked="0" layoutInCell="1" allowOverlap="1" wp14:anchorId="3E8327B5" wp14:editId="4897189B">
            <wp:simplePos x="0" y="0"/>
            <wp:positionH relativeFrom="margin">
              <wp:align>left</wp:align>
            </wp:positionH>
            <wp:positionV relativeFrom="paragraph">
              <wp:posOffset>284480</wp:posOffset>
            </wp:positionV>
            <wp:extent cx="5330825" cy="2907030"/>
            <wp:effectExtent l="0" t="0" r="3175" b="762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015EDA" w:rsidRDefault="00015EDA" w:rsidP="00015EDA">
      <w:pPr>
        <w:pStyle w:val="Caption"/>
        <w:keepNext/>
      </w:pPr>
    </w:p>
    <w:p w:rsidR="00015EDA" w:rsidRDefault="00015EDA" w:rsidP="00015EDA">
      <w:pPr>
        <w:pStyle w:val="Caption"/>
        <w:keepNext/>
      </w:pPr>
    </w:p>
    <w:p w:rsidR="00015EDA" w:rsidRDefault="00015EDA" w:rsidP="00015EDA">
      <w:pPr>
        <w:pStyle w:val="Caption"/>
        <w:keepNext/>
      </w:pPr>
    </w:p>
    <w:p w:rsidR="00015EDA" w:rsidRDefault="00015EDA" w:rsidP="00015EDA">
      <w:pPr>
        <w:pStyle w:val="Caption"/>
        <w:keepNext/>
      </w:pPr>
    </w:p>
    <w:p w:rsidR="00015EDA" w:rsidRDefault="00015EDA" w:rsidP="00015EDA">
      <w:pPr>
        <w:pStyle w:val="Caption"/>
        <w:keepNext/>
      </w:pPr>
    </w:p>
    <w:p w:rsidR="00015EDA" w:rsidRDefault="00015EDA" w:rsidP="00015EDA">
      <w:pPr>
        <w:pStyle w:val="Caption"/>
        <w:keepNext/>
      </w:pPr>
    </w:p>
    <w:p w:rsidR="00015EDA" w:rsidRDefault="00015EDA" w:rsidP="00015EDA">
      <w:pPr>
        <w:pStyle w:val="Caption"/>
        <w:keepNext/>
      </w:pPr>
    </w:p>
    <w:p w:rsidR="00015EDA" w:rsidRDefault="00015EDA" w:rsidP="00015EDA">
      <w:pPr>
        <w:pStyle w:val="Caption"/>
        <w:keepNext/>
      </w:pPr>
    </w:p>
    <w:p w:rsidR="00015EDA" w:rsidRDefault="00015EDA" w:rsidP="00015EDA">
      <w:pPr>
        <w:pStyle w:val="Caption"/>
        <w:keepNext/>
      </w:pPr>
    </w:p>
    <w:p w:rsidR="00015EDA" w:rsidRDefault="00015EDA" w:rsidP="00015EDA">
      <w:pPr>
        <w:pStyle w:val="Caption"/>
        <w:keepNext/>
      </w:pPr>
    </w:p>
    <w:p w:rsidR="00015EDA" w:rsidRDefault="00015EDA" w:rsidP="00015EDA">
      <w:pPr>
        <w:pStyle w:val="Caption"/>
        <w:keepNext/>
      </w:pPr>
    </w:p>
    <w:p w:rsidR="00015EDA" w:rsidRDefault="00015EDA" w:rsidP="00015EDA">
      <w:pPr>
        <w:pStyle w:val="Caption"/>
        <w:keepNext/>
      </w:pPr>
      <w:r>
        <w:rPr>
          <w:noProof/>
          <w:lang w:eastAsia="en-NZ"/>
        </w:rPr>
        <mc:AlternateContent>
          <mc:Choice Requires="wps">
            <w:drawing>
              <wp:anchor distT="0" distB="0" distL="114300" distR="114300" simplePos="0" relativeHeight="251666432" behindDoc="0" locked="0" layoutInCell="1" allowOverlap="1" wp14:anchorId="6797C195" wp14:editId="43EA51B6">
                <wp:simplePos x="0" y="0"/>
                <wp:positionH relativeFrom="column">
                  <wp:posOffset>0</wp:posOffset>
                </wp:positionH>
                <wp:positionV relativeFrom="paragraph">
                  <wp:posOffset>266700</wp:posOffset>
                </wp:positionV>
                <wp:extent cx="525335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253355" cy="635"/>
                        </a:xfrm>
                        <a:prstGeom prst="rect">
                          <a:avLst/>
                        </a:prstGeom>
                        <a:solidFill>
                          <a:prstClr val="white"/>
                        </a:solidFill>
                        <a:ln>
                          <a:noFill/>
                        </a:ln>
                        <a:effectLst/>
                      </wps:spPr>
                      <wps:txbx>
                        <w:txbxContent>
                          <w:p w:rsidR="00015EDA" w:rsidRPr="000356CA" w:rsidRDefault="00015EDA" w:rsidP="00015EDA">
                            <w:pPr>
                              <w:pStyle w:val="Caption"/>
                              <w:jc w:val="center"/>
                              <w:rPr>
                                <w:noProof/>
                              </w:rPr>
                            </w:pPr>
                            <w:r>
                              <w:t xml:space="preserve">Figure 6: </w:t>
                            </w:r>
                            <w:r w:rsidRPr="008B4160">
                              <w:t>Cumulative Company Profit per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97C195" id="Text Box 8" o:spid="_x0000_s1027" type="#_x0000_t202" style="position:absolute;margin-left:0;margin-top:21pt;width:413.6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" stroked="f">
                <v:textbox style="mso-fit-shape-to-text:t" inset="0,0,0,0">
                  <w:txbxContent>
                    <w:p w:rsidR="00015EDA" w:rsidRPr="000356CA" w:rsidRDefault="00015EDA" w:rsidP="00015EDA">
                      <w:pPr>
                        <w:pStyle w:val="Caption"/>
                        <w:jc w:val="center"/>
                        <w:rPr>
                          <w:noProof/>
                        </w:rPr>
                      </w:pPr>
                      <w:r>
                        <w:t xml:space="preserve">Figure 6: </w:t>
                      </w:r>
                      <w:r w:rsidRPr="008B4160">
                        <w:t>Cumulative Company Profit per year</w:t>
                      </w:r>
                    </w:p>
                  </w:txbxContent>
                </v:textbox>
                <w10:wrap type="square"/>
              </v:shape>
            </w:pict>
          </mc:Fallback>
        </mc:AlternateContent>
      </w:r>
    </w:p>
    <w:p w:rsidR="00015EDA" w:rsidRDefault="00015EDA" w:rsidP="00015EDA">
      <w:pPr>
        <w:pStyle w:val="Caption"/>
        <w:keepNext/>
      </w:pPr>
      <w:r>
        <w:rPr>
          <w:noProof/>
          <w:lang w:eastAsia="en-NZ"/>
        </w:rPr>
        <w:drawing>
          <wp:inline distT="0" distB="0" distL="0" distR="0" wp14:anchorId="0F4D9221" wp14:editId="2DEBBBC1">
            <wp:extent cx="5731510" cy="3316605"/>
            <wp:effectExtent l="0" t="0" r="2540"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15EDA" w:rsidRDefault="00015EDA" w:rsidP="00015EDA">
      <w:pPr>
        <w:pStyle w:val="Caption"/>
        <w:jc w:val="center"/>
      </w:pPr>
      <w:r>
        <w:t>Figure 7: NPV</w:t>
      </w:r>
    </w:p>
    <w:p w:rsidR="00015EDA" w:rsidRDefault="00015EDA" w:rsidP="00015EDA">
      <w:pPr>
        <w:pStyle w:val="Caption"/>
      </w:pPr>
    </w:p>
    <w:p w:rsidR="001162F5" w:rsidRDefault="001162F5" w:rsidP="001162F5"/>
    <w:p w:rsidR="001162F5" w:rsidRDefault="001162F5" w:rsidP="001162F5"/>
    <w:p w:rsidR="001162F5" w:rsidRPr="001162F5" w:rsidRDefault="001162F5" w:rsidP="001162F5"/>
    <w:p w:rsidR="00015EDA" w:rsidRDefault="00015EDA" w:rsidP="00015EDA">
      <w:pPr>
        <w:pStyle w:val="Heading2"/>
        <w:ind w:firstLine="720"/>
      </w:pPr>
      <w:bookmarkStart w:id="16" w:name="_Toc463540067"/>
      <w:r>
        <w:lastRenderedPageBreak/>
        <w:t>6.3 Results Summary</w:t>
      </w:r>
      <w:bookmarkEnd w:id="16"/>
    </w:p>
    <w:p w:rsidR="00015EDA" w:rsidRDefault="00015EDA" w:rsidP="00015EDA">
      <w:pPr>
        <w:jc w:val="both"/>
      </w:pPr>
      <w:r>
        <w:t>The table below outlines a summary of the statistics of the financials of the company.</w:t>
      </w:r>
    </w:p>
    <w:p w:rsidR="00015EDA" w:rsidRDefault="00015EDA" w:rsidP="00015EDA">
      <w:pPr>
        <w:pStyle w:val="Caption"/>
        <w:keepNext/>
        <w:jc w:val="center"/>
      </w:pPr>
      <w:r>
        <w:t xml:space="preserve">Table </w:t>
      </w:r>
      <w:r w:rsidR="006566FB">
        <w:fldChar w:fldCharType="begin"/>
      </w:r>
      <w:r w:rsidR="006566FB">
        <w:instrText xml:space="preserve"> SEQ Table \* ARABIC </w:instrText>
      </w:r>
      <w:r w:rsidR="006566FB">
        <w:fldChar w:fldCharType="separate"/>
      </w:r>
      <w:r>
        <w:rPr>
          <w:noProof/>
        </w:rPr>
        <w:t>5</w:t>
      </w:r>
      <w:r w:rsidR="006566FB">
        <w:rPr>
          <w:noProof/>
        </w:rPr>
        <w:fldChar w:fldCharType="end"/>
      </w:r>
      <w:r>
        <w:t xml:space="preserve">: </w:t>
      </w:r>
      <w:r w:rsidRPr="00D004A7">
        <w:t>Overall Financial Statistics</w:t>
      </w:r>
    </w:p>
    <w:tbl>
      <w:tblPr>
        <w:tblStyle w:val="TableGrid"/>
        <w:tblW w:w="0" w:type="auto"/>
        <w:jc w:val="center"/>
        <w:tblLook w:val="04A0" w:firstRow="1" w:lastRow="0" w:firstColumn="1" w:lastColumn="0" w:noHBand="0" w:noVBand="1"/>
      </w:tblPr>
      <w:tblGrid>
        <w:gridCol w:w="2254"/>
        <w:gridCol w:w="2254"/>
        <w:gridCol w:w="2254"/>
      </w:tblGrid>
      <w:tr w:rsidR="00015EDA" w:rsidTr="00015EDA">
        <w:trPr>
          <w:jc w:val="center"/>
        </w:trPr>
        <w:tc>
          <w:tcPr>
            <w:tcW w:w="2254" w:type="dxa"/>
          </w:tcPr>
          <w:p w:rsidR="00015EDA" w:rsidRDefault="00015EDA" w:rsidP="00015EDA">
            <w:pPr>
              <w:jc w:val="center"/>
            </w:pPr>
            <w:r>
              <w:t>Summary statistics</w:t>
            </w:r>
          </w:p>
        </w:tc>
        <w:tc>
          <w:tcPr>
            <w:tcW w:w="2254" w:type="dxa"/>
          </w:tcPr>
          <w:p w:rsidR="00015EDA" w:rsidRDefault="00015EDA" w:rsidP="00015EDA">
            <w:pPr>
              <w:jc w:val="center"/>
            </w:pPr>
            <w:r>
              <w:t>Payback Period</w:t>
            </w:r>
          </w:p>
        </w:tc>
        <w:tc>
          <w:tcPr>
            <w:tcW w:w="2254" w:type="dxa"/>
          </w:tcPr>
          <w:p w:rsidR="00015EDA" w:rsidRDefault="00015EDA" w:rsidP="00015EDA">
            <w:pPr>
              <w:jc w:val="center"/>
            </w:pPr>
            <w:r>
              <w:t>Net Profit</w:t>
            </w:r>
          </w:p>
        </w:tc>
      </w:tr>
      <w:tr w:rsidR="00015EDA" w:rsidTr="00015EDA">
        <w:trPr>
          <w:jc w:val="center"/>
        </w:trPr>
        <w:tc>
          <w:tcPr>
            <w:tcW w:w="2254" w:type="dxa"/>
          </w:tcPr>
          <w:p w:rsidR="00015EDA" w:rsidRDefault="00015EDA" w:rsidP="00015EDA">
            <w:pPr>
              <w:jc w:val="center"/>
            </w:pPr>
            <w:r>
              <w:t>Optimistic</w:t>
            </w:r>
          </w:p>
        </w:tc>
        <w:tc>
          <w:tcPr>
            <w:tcW w:w="2254" w:type="dxa"/>
          </w:tcPr>
          <w:p w:rsidR="00015EDA" w:rsidRDefault="00015EDA" w:rsidP="00015EDA">
            <w:pPr>
              <w:jc w:val="center"/>
            </w:pPr>
            <w:r>
              <w:t>12 years</w:t>
            </w:r>
          </w:p>
        </w:tc>
        <w:tc>
          <w:tcPr>
            <w:tcW w:w="2254" w:type="dxa"/>
          </w:tcPr>
          <w:p w:rsidR="00015EDA" w:rsidRDefault="00015EDA" w:rsidP="00015EDA">
            <w:pPr>
              <w:jc w:val="center"/>
            </w:pPr>
            <w:r>
              <w:t>$473 mill</w:t>
            </w:r>
          </w:p>
        </w:tc>
      </w:tr>
      <w:tr w:rsidR="00015EDA" w:rsidTr="00015EDA">
        <w:trPr>
          <w:jc w:val="center"/>
        </w:trPr>
        <w:tc>
          <w:tcPr>
            <w:tcW w:w="2254" w:type="dxa"/>
          </w:tcPr>
          <w:p w:rsidR="00015EDA" w:rsidRDefault="00015EDA" w:rsidP="00015EDA">
            <w:pPr>
              <w:jc w:val="center"/>
            </w:pPr>
            <w:r>
              <w:t>Expected</w:t>
            </w:r>
          </w:p>
        </w:tc>
        <w:tc>
          <w:tcPr>
            <w:tcW w:w="2254" w:type="dxa"/>
          </w:tcPr>
          <w:p w:rsidR="00015EDA" w:rsidRDefault="00015EDA" w:rsidP="00015EDA">
            <w:pPr>
              <w:jc w:val="center"/>
            </w:pPr>
            <w:r>
              <w:t>17 years</w:t>
            </w:r>
          </w:p>
        </w:tc>
        <w:tc>
          <w:tcPr>
            <w:tcW w:w="2254" w:type="dxa"/>
          </w:tcPr>
          <w:p w:rsidR="00015EDA" w:rsidRDefault="00015EDA" w:rsidP="00015EDA">
            <w:pPr>
              <w:jc w:val="center"/>
            </w:pPr>
            <w:r>
              <w:t>$49.6 mill</w:t>
            </w:r>
          </w:p>
        </w:tc>
      </w:tr>
      <w:tr w:rsidR="00015EDA" w:rsidTr="00015EDA">
        <w:trPr>
          <w:jc w:val="center"/>
        </w:trPr>
        <w:tc>
          <w:tcPr>
            <w:tcW w:w="2254" w:type="dxa"/>
          </w:tcPr>
          <w:p w:rsidR="00015EDA" w:rsidRDefault="00015EDA" w:rsidP="00015EDA">
            <w:pPr>
              <w:jc w:val="center"/>
            </w:pPr>
            <w:r>
              <w:t>Pessimistic</w:t>
            </w:r>
          </w:p>
        </w:tc>
        <w:tc>
          <w:tcPr>
            <w:tcW w:w="2254" w:type="dxa"/>
          </w:tcPr>
          <w:p w:rsidR="00015EDA" w:rsidRDefault="00015EDA" w:rsidP="00015EDA">
            <w:pPr>
              <w:jc w:val="center"/>
            </w:pPr>
            <w:r>
              <w:t>-</w:t>
            </w:r>
          </w:p>
        </w:tc>
        <w:tc>
          <w:tcPr>
            <w:tcW w:w="2254" w:type="dxa"/>
          </w:tcPr>
          <w:p w:rsidR="00015EDA" w:rsidRDefault="00015EDA" w:rsidP="00015EDA">
            <w:pPr>
              <w:jc w:val="center"/>
            </w:pPr>
            <w:r>
              <w:t>-$41 mill (21 years)</w:t>
            </w:r>
          </w:p>
        </w:tc>
      </w:tr>
    </w:tbl>
    <w:p w:rsidR="001162F5" w:rsidRDefault="001162F5" w:rsidP="00015EDA">
      <w:pPr>
        <w:pStyle w:val="Heading2"/>
        <w:ind w:firstLine="720"/>
        <w:jc w:val="both"/>
      </w:pPr>
      <w:bookmarkStart w:id="17" w:name="_Toc463540068"/>
    </w:p>
    <w:p w:rsidR="00015EDA" w:rsidRDefault="00015EDA" w:rsidP="00015EDA">
      <w:pPr>
        <w:pStyle w:val="Heading2"/>
        <w:ind w:firstLine="720"/>
        <w:jc w:val="both"/>
      </w:pPr>
      <w:r>
        <w:t>6.4 Recommendations</w:t>
      </w:r>
      <w:bookmarkEnd w:id="17"/>
    </w:p>
    <w:p w:rsidR="00015EDA" w:rsidRDefault="00015EDA" w:rsidP="00015EDA">
      <w:pPr>
        <w:jc w:val="both"/>
      </w:pPr>
      <w:r>
        <w:t>From the above financial analysis it is apparent that the return for the country over 20 years varies depending on the ability to market the product successfully, as outlined in the predictions using optimistic, expected and pessimistic approaches. Seen as dairy farming is the largest section of the New Zealand agricultural sector, it is a recommendation of this report that the financial aspects for the expected outcomes of this venture are secure, considering the investment in marketing and technology that the company is undertaking. However, the net present value analysis displayed in figure 7 highlights that it would be best to invest the money in other ventures as an external investor, unless optimistic projections are met. There are however other benefits that Methanex New Zealand Limited will benefit from as a company operating in the local environment from investment in the biogas to methanol venture.</w:t>
      </w:r>
    </w:p>
    <w:p w:rsidR="00015EDA" w:rsidRPr="00D67783" w:rsidRDefault="00015EDA" w:rsidP="00015EDA">
      <w:pPr>
        <w:pStyle w:val="Heading1"/>
        <w:jc w:val="both"/>
      </w:pPr>
      <w:bookmarkStart w:id="18" w:name="_Toc463540069"/>
      <w:r>
        <w:t xml:space="preserve">7. </w:t>
      </w:r>
      <w:r w:rsidRPr="00D67783">
        <w:t>Route to market</w:t>
      </w:r>
      <w:bookmarkEnd w:id="18"/>
    </w:p>
    <w:p w:rsidR="00015EDA" w:rsidRPr="00D67783" w:rsidRDefault="00015EDA" w:rsidP="00015EDA">
      <w:pPr>
        <w:pStyle w:val="Heading2"/>
        <w:ind w:firstLine="720"/>
        <w:jc w:val="both"/>
      </w:pPr>
      <w:bookmarkStart w:id="19" w:name="_Toc463540070"/>
      <w:r>
        <w:t xml:space="preserve">7.1 </w:t>
      </w:r>
      <w:r w:rsidRPr="00D67783">
        <w:t>Introduction</w:t>
      </w:r>
      <w:bookmarkEnd w:id="19"/>
    </w:p>
    <w:p w:rsidR="00015EDA" w:rsidRDefault="00015EDA" w:rsidP="00015EDA">
      <w:pPr>
        <w:pStyle w:val="NormalWeb"/>
        <w:spacing w:before="0" w:beforeAutospacing="0" w:after="160" w:afterAutospacing="0"/>
        <w:jc w:val="both"/>
      </w:pPr>
      <w:r>
        <w:rPr>
          <w:rFonts w:ascii="Calibri" w:hAnsi="Calibri"/>
          <w:color w:val="000000"/>
          <w:sz w:val="22"/>
          <w:szCs w:val="22"/>
        </w:rPr>
        <w:t>A successful marketing strategy is key to ensure a maximisation in profit. Successful marketing will ensure that all opportunities that present themselves can be fully capitalised and at the same time threats that may present themselves can be minimised. Relying on the quality of the product itself to influence sales is an unnecessary high-risk strategy. It is important to focus on strategy rather than the product itself. The marketing department of the project should constantly be up-to-date with emerging opportunities that may present themselves throughout the project. Possible key marketing achievements include the following:</w:t>
      </w:r>
    </w:p>
    <w:p w:rsidR="00015EDA" w:rsidRDefault="00015EDA" w:rsidP="00015EDA">
      <w:pPr>
        <w:pStyle w:val="NormalWeb"/>
        <w:numPr>
          <w:ilvl w:val="0"/>
          <w:numId w:val="18"/>
        </w:numPr>
        <w:spacing w:before="0" w:beforeAutospacing="0" w:after="0" w:afterAutospacing="0"/>
        <w:jc w:val="both"/>
        <w:textAlignment w:val="baseline"/>
        <w:rPr>
          <w:rFonts w:ascii="Arial" w:hAnsi="Arial" w:cs="Arial"/>
          <w:color w:val="000000"/>
          <w:sz w:val="22"/>
          <w:szCs w:val="22"/>
        </w:rPr>
      </w:pPr>
      <w:r>
        <w:rPr>
          <w:rFonts w:ascii="Calibri" w:hAnsi="Calibri" w:cs="Arial"/>
          <w:color w:val="000000"/>
          <w:sz w:val="22"/>
          <w:szCs w:val="22"/>
        </w:rPr>
        <w:t>Support from local communities</w:t>
      </w:r>
    </w:p>
    <w:p w:rsidR="00015EDA" w:rsidRDefault="00015EDA" w:rsidP="00015EDA">
      <w:pPr>
        <w:pStyle w:val="NormalWeb"/>
        <w:numPr>
          <w:ilvl w:val="0"/>
          <w:numId w:val="18"/>
        </w:numPr>
        <w:spacing w:before="0" w:beforeAutospacing="0" w:after="0" w:afterAutospacing="0"/>
        <w:jc w:val="both"/>
        <w:textAlignment w:val="baseline"/>
        <w:rPr>
          <w:rFonts w:ascii="Arial" w:hAnsi="Arial" w:cs="Arial"/>
          <w:color w:val="000000"/>
          <w:sz w:val="22"/>
          <w:szCs w:val="22"/>
        </w:rPr>
      </w:pPr>
      <w:r>
        <w:rPr>
          <w:rFonts w:ascii="Calibri" w:hAnsi="Calibri" w:cs="Arial"/>
          <w:color w:val="000000"/>
          <w:sz w:val="22"/>
          <w:szCs w:val="22"/>
        </w:rPr>
        <w:t>Support from local government</w:t>
      </w:r>
    </w:p>
    <w:p w:rsidR="00015EDA" w:rsidRDefault="00015EDA" w:rsidP="00015EDA">
      <w:pPr>
        <w:pStyle w:val="NormalWeb"/>
        <w:numPr>
          <w:ilvl w:val="0"/>
          <w:numId w:val="18"/>
        </w:numPr>
        <w:spacing w:before="0" w:beforeAutospacing="0" w:after="0" w:afterAutospacing="0"/>
        <w:jc w:val="both"/>
        <w:textAlignment w:val="baseline"/>
        <w:rPr>
          <w:rFonts w:ascii="Arial" w:hAnsi="Arial" w:cs="Arial"/>
          <w:color w:val="000000"/>
          <w:sz w:val="22"/>
          <w:szCs w:val="22"/>
        </w:rPr>
      </w:pPr>
      <w:r>
        <w:rPr>
          <w:rFonts w:ascii="Calibri" w:hAnsi="Calibri" w:cs="Arial"/>
          <w:color w:val="000000"/>
          <w:sz w:val="22"/>
          <w:szCs w:val="22"/>
        </w:rPr>
        <w:t>Support from national government</w:t>
      </w:r>
    </w:p>
    <w:p w:rsidR="00015EDA" w:rsidRDefault="00015EDA" w:rsidP="00015EDA">
      <w:pPr>
        <w:pStyle w:val="NormalWeb"/>
        <w:numPr>
          <w:ilvl w:val="0"/>
          <w:numId w:val="18"/>
        </w:numPr>
        <w:spacing w:before="0" w:beforeAutospacing="0" w:after="0" w:afterAutospacing="0"/>
        <w:jc w:val="both"/>
        <w:textAlignment w:val="baseline"/>
        <w:rPr>
          <w:rFonts w:ascii="Arial" w:hAnsi="Arial" w:cs="Arial"/>
          <w:color w:val="000000"/>
          <w:sz w:val="22"/>
          <w:szCs w:val="22"/>
        </w:rPr>
      </w:pPr>
      <w:r>
        <w:rPr>
          <w:rFonts w:ascii="Calibri" w:hAnsi="Calibri" w:cs="Arial"/>
          <w:color w:val="000000"/>
          <w:sz w:val="22"/>
          <w:szCs w:val="22"/>
        </w:rPr>
        <w:t>Attracting investors</w:t>
      </w:r>
    </w:p>
    <w:p w:rsidR="00015EDA" w:rsidRDefault="00015EDA" w:rsidP="00015EDA">
      <w:pPr>
        <w:pStyle w:val="NormalWeb"/>
        <w:numPr>
          <w:ilvl w:val="0"/>
          <w:numId w:val="18"/>
        </w:numPr>
        <w:spacing w:before="0" w:beforeAutospacing="0" w:after="160" w:afterAutospacing="0"/>
        <w:jc w:val="both"/>
        <w:textAlignment w:val="baseline"/>
        <w:rPr>
          <w:rFonts w:ascii="Arial" w:hAnsi="Arial" w:cs="Arial"/>
          <w:color w:val="000000"/>
          <w:sz w:val="22"/>
          <w:szCs w:val="22"/>
        </w:rPr>
      </w:pPr>
      <w:r>
        <w:rPr>
          <w:rFonts w:ascii="Calibri" w:hAnsi="Calibri" w:cs="Arial"/>
          <w:color w:val="000000"/>
          <w:sz w:val="22"/>
          <w:szCs w:val="22"/>
        </w:rPr>
        <w:t>High sales</w:t>
      </w:r>
    </w:p>
    <w:p w:rsidR="00015EDA" w:rsidRDefault="00015EDA" w:rsidP="00015EDA">
      <w:pPr>
        <w:pStyle w:val="NormalWeb"/>
        <w:spacing w:before="0" w:beforeAutospacing="0" w:after="160" w:afterAutospacing="0"/>
        <w:jc w:val="both"/>
      </w:pPr>
      <w:r>
        <w:rPr>
          <w:rFonts w:ascii="Calibri" w:hAnsi="Calibri"/>
          <w:color w:val="000000"/>
          <w:sz w:val="22"/>
          <w:szCs w:val="22"/>
        </w:rPr>
        <w:t>Threats that are minimalised by implementing a good marketing strategy are:</w:t>
      </w:r>
    </w:p>
    <w:p w:rsidR="00015EDA" w:rsidRDefault="00015EDA" w:rsidP="00015EDA">
      <w:pPr>
        <w:pStyle w:val="NormalWeb"/>
        <w:numPr>
          <w:ilvl w:val="0"/>
          <w:numId w:val="19"/>
        </w:numPr>
        <w:spacing w:before="0" w:beforeAutospacing="0" w:after="0" w:afterAutospacing="0"/>
        <w:jc w:val="both"/>
        <w:textAlignment w:val="baseline"/>
        <w:rPr>
          <w:rFonts w:ascii="Arial" w:hAnsi="Arial" w:cs="Arial"/>
          <w:color w:val="000000"/>
          <w:sz w:val="22"/>
          <w:szCs w:val="22"/>
        </w:rPr>
      </w:pPr>
      <w:r>
        <w:rPr>
          <w:rFonts w:ascii="Calibri" w:hAnsi="Calibri" w:cs="Arial"/>
          <w:color w:val="000000"/>
          <w:sz w:val="22"/>
          <w:szCs w:val="22"/>
        </w:rPr>
        <w:t>Insufficient funds</w:t>
      </w:r>
    </w:p>
    <w:p w:rsidR="00015EDA" w:rsidRDefault="00015EDA" w:rsidP="00015EDA">
      <w:pPr>
        <w:pStyle w:val="NormalWeb"/>
        <w:numPr>
          <w:ilvl w:val="0"/>
          <w:numId w:val="19"/>
        </w:numPr>
        <w:spacing w:before="0" w:beforeAutospacing="0" w:after="0" w:afterAutospacing="0"/>
        <w:jc w:val="both"/>
        <w:textAlignment w:val="baseline"/>
        <w:rPr>
          <w:rFonts w:ascii="Arial" w:hAnsi="Arial" w:cs="Arial"/>
          <w:color w:val="000000"/>
          <w:sz w:val="22"/>
          <w:szCs w:val="22"/>
        </w:rPr>
      </w:pPr>
      <w:r>
        <w:rPr>
          <w:rFonts w:ascii="Calibri" w:hAnsi="Calibri" w:cs="Arial"/>
          <w:color w:val="000000"/>
          <w:sz w:val="22"/>
          <w:szCs w:val="22"/>
        </w:rPr>
        <w:t>Community/Government backlash to the project</w:t>
      </w:r>
    </w:p>
    <w:p w:rsidR="00015EDA" w:rsidRDefault="00015EDA" w:rsidP="00015EDA">
      <w:pPr>
        <w:pStyle w:val="NormalWeb"/>
        <w:numPr>
          <w:ilvl w:val="0"/>
          <w:numId w:val="19"/>
        </w:numPr>
        <w:spacing w:before="0" w:beforeAutospacing="0" w:after="160" w:afterAutospacing="0"/>
        <w:jc w:val="both"/>
        <w:textAlignment w:val="baseline"/>
        <w:rPr>
          <w:rFonts w:ascii="Arial" w:hAnsi="Arial" w:cs="Arial"/>
          <w:color w:val="000000"/>
          <w:sz w:val="22"/>
          <w:szCs w:val="22"/>
        </w:rPr>
      </w:pPr>
      <w:r>
        <w:rPr>
          <w:rFonts w:ascii="Calibri" w:hAnsi="Calibri" w:cs="Arial"/>
          <w:color w:val="000000"/>
          <w:sz w:val="22"/>
          <w:szCs w:val="22"/>
        </w:rPr>
        <w:t xml:space="preserve">Resource consent denied by government </w:t>
      </w:r>
    </w:p>
    <w:p w:rsidR="00015EDA" w:rsidRPr="00D67783" w:rsidRDefault="00015EDA" w:rsidP="00015EDA">
      <w:pPr>
        <w:pStyle w:val="Heading2"/>
        <w:ind w:firstLine="720"/>
        <w:jc w:val="both"/>
      </w:pPr>
      <w:bookmarkStart w:id="20" w:name="_Toc463540071"/>
      <w:r>
        <w:t xml:space="preserve">7.2 </w:t>
      </w:r>
      <w:r w:rsidRPr="00D67783">
        <w:t>Methodology</w:t>
      </w:r>
      <w:bookmarkEnd w:id="20"/>
      <w:r w:rsidRPr="00D67783">
        <w:t xml:space="preserve"> </w:t>
      </w:r>
    </w:p>
    <w:p w:rsidR="00015EDA" w:rsidRDefault="00015EDA" w:rsidP="00015EDA">
      <w:pPr>
        <w:pStyle w:val="NormalWeb"/>
        <w:spacing w:before="0" w:beforeAutospacing="0" w:after="160" w:afterAutospacing="0"/>
        <w:jc w:val="both"/>
        <w:textAlignment w:val="baseline"/>
        <w:rPr>
          <w:rFonts w:ascii="Calibri" w:hAnsi="Calibri"/>
          <w:color w:val="000000"/>
          <w:sz w:val="22"/>
          <w:szCs w:val="22"/>
        </w:rPr>
      </w:pPr>
      <w:r>
        <w:rPr>
          <w:rFonts w:ascii="Calibri" w:hAnsi="Calibri"/>
          <w:color w:val="000000"/>
          <w:sz w:val="22"/>
          <w:szCs w:val="22"/>
        </w:rPr>
        <w:t>1.</w:t>
      </w:r>
      <w:r>
        <w:rPr>
          <w:rFonts w:ascii="Calibri" w:hAnsi="Calibri"/>
          <w:color w:val="000000"/>
          <w:sz w:val="22"/>
          <w:szCs w:val="22"/>
        </w:rPr>
        <w:tab/>
        <w:t>Selecting Target Market:</w:t>
      </w:r>
    </w:p>
    <w:p w:rsidR="00015EDA" w:rsidRDefault="00015EDA" w:rsidP="00015EDA">
      <w:pPr>
        <w:pStyle w:val="NormalWeb"/>
        <w:spacing w:before="0" w:beforeAutospacing="0" w:after="160" w:afterAutospacing="0"/>
        <w:ind w:left="360"/>
        <w:jc w:val="both"/>
      </w:pPr>
      <w:r>
        <w:rPr>
          <w:rFonts w:ascii="Calibri" w:hAnsi="Calibri"/>
          <w:color w:val="000000"/>
          <w:sz w:val="22"/>
          <w:szCs w:val="22"/>
        </w:rPr>
        <w:t xml:space="preserve">Extensive market and economic analysis is to be undertaken to fully understand the dairy industry in New Zealand. This project targets dairy farmers with an average or above average size herd. The potential to save money as well as producing a “Greener” product are the selling points of this project, with emphasis on the “Greener” product aspect. This will mean that the product that </w:t>
      </w:r>
      <w:r>
        <w:rPr>
          <w:rFonts w:ascii="Calibri" w:hAnsi="Calibri"/>
          <w:color w:val="000000"/>
          <w:sz w:val="22"/>
          <w:szCs w:val="22"/>
        </w:rPr>
        <w:lastRenderedPageBreak/>
        <w:t>the farmers are producing will be held in higher esteem and also appeals to farmers who are more environmentally minded. Because of this Methanex needs to drive hard the benefits of using dairy cow manure to produce fertiliser and methanol. Investors inside New Zealand are to be sought after the most, followed by other companies in the energy industry such as Contact or Meridian energy.</w:t>
      </w:r>
    </w:p>
    <w:p w:rsidR="00015EDA" w:rsidRDefault="00015EDA" w:rsidP="00015EDA">
      <w:pPr>
        <w:pStyle w:val="NormalWeb"/>
        <w:numPr>
          <w:ilvl w:val="0"/>
          <w:numId w:val="21"/>
        </w:numPr>
        <w:spacing w:before="0" w:beforeAutospacing="0" w:after="160" w:afterAutospacing="0"/>
        <w:jc w:val="both"/>
        <w:textAlignment w:val="baseline"/>
        <w:rPr>
          <w:rFonts w:ascii="Calibri" w:hAnsi="Calibri"/>
          <w:color w:val="000000"/>
          <w:sz w:val="22"/>
          <w:szCs w:val="22"/>
        </w:rPr>
      </w:pPr>
      <w:r>
        <w:rPr>
          <w:rFonts w:ascii="Calibri" w:hAnsi="Calibri"/>
          <w:color w:val="000000"/>
          <w:sz w:val="22"/>
          <w:szCs w:val="22"/>
        </w:rPr>
        <w:t>Product</w:t>
      </w:r>
    </w:p>
    <w:p w:rsidR="00015EDA" w:rsidRDefault="00015EDA" w:rsidP="00015EDA">
      <w:pPr>
        <w:pStyle w:val="NormalWeb"/>
        <w:spacing w:before="0" w:beforeAutospacing="0" w:after="160" w:afterAutospacing="0"/>
        <w:ind w:left="360"/>
        <w:jc w:val="both"/>
      </w:pPr>
      <w:r>
        <w:rPr>
          <w:rFonts w:ascii="Calibri" w:hAnsi="Calibri"/>
          <w:color w:val="000000"/>
          <w:sz w:val="22"/>
          <w:szCs w:val="22"/>
        </w:rPr>
        <w:t>Producing methanol from methane is a relatively well explored technology, producing methanol on the small scale that is suggested in this project is however new and innovative. R&amp;D engineers will need to be hired to help improve existing larger scale components so that they can be scaled down and applied in an efficient and economically beneficial way.</w:t>
      </w:r>
    </w:p>
    <w:p w:rsidR="00015EDA" w:rsidRDefault="00015EDA" w:rsidP="00015EDA">
      <w:pPr>
        <w:pStyle w:val="NormalWeb"/>
        <w:numPr>
          <w:ilvl w:val="0"/>
          <w:numId w:val="22"/>
        </w:numPr>
        <w:spacing w:before="0" w:beforeAutospacing="0" w:after="160" w:afterAutospacing="0"/>
        <w:jc w:val="both"/>
        <w:textAlignment w:val="baseline"/>
        <w:rPr>
          <w:rFonts w:ascii="Calibri" w:hAnsi="Calibri"/>
          <w:color w:val="000000"/>
          <w:sz w:val="22"/>
          <w:szCs w:val="22"/>
        </w:rPr>
      </w:pPr>
      <w:r>
        <w:rPr>
          <w:rFonts w:ascii="Calibri" w:hAnsi="Calibri"/>
          <w:color w:val="000000"/>
          <w:sz w:val="22"/>
          <w:szCs w:val="22"/>
        </w:rPr>
        <w:t>Pricing</w:t>
      </w:r>
    </w:p>
    <w:p w:rsidR="00015EDA" w:rsidRDefault="00015EDA" w:rsidP="00015EDA">
      <w:pPr>
        <w:pStyle w:val="NormalWeb"/>
        <w:spacing w:before="0" w:beforeAutospacing="0" w:after="160" w:afterAutospacing="0"/>
        <w:ind w:left="360"/>
        <w:jc w:val="both"/>
      </w:pPr>
      <w:r>
        <w:rPr>
          <w:rFonts w:ascii="Calibri" w:hAnsi="Calibri"/>
          <w:color w:val="000000"/>
          <w:sz w:val="22"/>
          <w:szCs w:val="22"/>
        </w:rPr>
        <w:t>In this project the farmer does not pay for the system to be set up. In doing so they are agreeing to have the system set up on their farm, getting in return a “greener” dairy product as well as fertiliser for their fields. What Methanex gets out of this agreement is the methane produced by the manure. If this set up is not attractive enough to potential clients, deals can be struck that could see clients getting a return on the profits made my Methanex on their project. An extensive financial feasibility investigation is shown in a separate part of this report. This serves as the best research into pricing trends on methanol and expected turnover and profit of the venture. Market trends will be monitored to ensure a financially viable future for the project.</w:t>
      </w:r>
    </w:p>
    <w:p w:rsidR="00015EDA" w:rsidRDefault="00015EDA" w:rsidP="00015EDA">
      <w:pPr>
        <w:pStyle w:val="NormalWeb"/>
        <w:numPr>
          <w:ilvl w:val="0"/>
          <w:numId w:val="23"/>
        </w:numPr>
        <w:spacing w:before="0" w:beforeAutospacing="0" w:after="160" w:afterAutospacing="0"/>
        <w:jc w:val="both"/>
        <w:textAlignment w:val="baseline"/>
        <w:rPr>
          <w:rFonts w:ascii="Calibri" w:hAnsi="Calibri"/>
          <w:color w:val="000000"/>
          <w:sz w:val="22"/>
          <w:szCs w:val="22"/>
        </w:rPr>
      </w:pPr>
      <w:r>
        <w:rPr>
          <w:rFonts w:ascii="Calibri" w:hAnsi="Calibri"/>
          <w:color w:val="000000"/>
          <w:sz w:val="22"/>
          <w:szCs w:val="22"/>
        </w:rPr>
        <w:t>Promotion</w:t>
      </w:r>
    </w:p>
    <w:p w:rsidR="00015EDA" w:rsidRDefault="00015EDA" w:rsidP="00015EDA">
      <w:pPr>
        <w:pStyle w:val="NormalWeb"/>
        <w:spacing w:before="0" w:beforeAutospacing="0" w:after="160" w:afterAutospacing="0"/>
        <w:ind w:left="360"/>
        <w:jc w:val="both"/>
      </w:pPr>
      <w:r>
        <w:rPr>
          <w:rFonts w:ascii="Calibri" w:hAnsi="Calibri"/>
          <w:color w:val="000000"/>
          <w:sz w:val="22"/>
          <w:szCs w:val="22"/>
        </w:rPr>
        <w:t>The promotion is heavily linked with the success of the prototype project. The marketing strategy revolves heavily around the perception that producing methanol from dairy farms is hugely beneficial to the environment. Many high value opportunities identified in the risk assessment are linked to the promotion and the positive image. Dairy farming in New Zealand has many negative environmental connotations associated with it. It is therefore vital that this is used as an advantage when informing people about how producing methanol from methane is an activity which can help the environment and New Zealand’s green image. There are many ways of passing on information about the positives of this process:</w:t>
      </w:r>
    </w:p>
    <w:p w:rsidR="00015EDA" w:rsidRDefault="00015EDA" w:rsidP="00015EDA">
      <w:pPr>
        <w:pStyle w:val="NormalWeb"/>
        <w:numPr>
          <w:ilvl w:val="0"/>
          <w:numId w:val="24"/>
        </w:numPr>
        <w:spacing w:before="0" w:beforeAutospacing="0" w:after="0" w:afterAutospacing="0"/>
        <w:ind w:left="1080"/>
        <w:jc w:val="both"/>
        <w:textAlignment w:val="baseline"/>
        <w:rPr>
          <w:rFonts w:ascii="Arial" w:hAnsi="Arial" w:cs="Arial"/>
          <w:color w:val="000000"/>
          <w:sz w:val="22"/>
          <w:szCs w:val="22"/>
        </w:rPr>
      </w:pPr>
      <w:r>
        <w:rPr>
          <w:rFonts w:ascii="Calibri" w:hAnsi="Calibri" w:cs="Arial"/>
          <w:color w:val="000000"/>
          <w:sz w:val="22"/>
          <w:szCs w:val="22"/>
        </w:rPr>
        <w:t>Local community meetings</w:t>
      </w:r>
    </w:p>
    <w:p w:rsidR="00015EDA" w:rsidRDefault="00015EDA" w:rsidP="00015EDA">
      <w:pPr>
        <w:pStyle w:val="NormalWeb"/>
        <w:numPr>
          <w:ilvl w:val="0"/>
          <w:numId w:val="24"/>
        </w:numPr>
        <w:spacing w:before="0" w:beforeAutospacing="0" w:after="0" w:afterAutospacing="0"/>
        <w:ind w:left="1080"/>
        <w:jc w:val="both"/>
        <w:textAlignment w:val="baseline"/>
        <w:rPr>
          <w:rFonts w:ascii="Arial" w:hAnsi="Arial" w:cs="Arial"/>
          <w:color w:val="000000"/>
          <w:sz w:val="22"/>
          <w:szCs w:val="22"/>
        </w:rPr>
      </w:pPr>
      <w:r>
        <w:rPr>
          <w:rFonts w:ascii="Calibri" w:hAnsi="Calibri" w:cs="Arial"/>
          <w:color w:val="000000"/>
          <w:sz w:val="22"/>
          <w:szCs w:val="22"/>
        </w:rPr>
        <w:t>Presentations to industry leaders</w:t>
      </w:r>
    </w:p>
    <w:p w:rsidR="00015EDA" w:rsidRDefault="00015EDA" w:rsidP="00015EDA">
      <w:pPr>
        <w:pStyle w:val="NormalWeb"/>
        <w:numPr>
          <w:ilvl w:val="0"/>
          <w:numId w:val="24"/>
        </w:numPr>
        <w:spacing w:before="0" w:beforeAutospacing="0" w:after="0" w:afterAutospacing="0"/>
        <w:ind w:left="1080"/>
        <w:jc w:val="both"/>
        <w:textAlignment w:val="baseline"/>
        <w:rPr>
          <w:rFonts w:ascii="Arial" w:hAnsi="Arial" w:cs="Arial"/>
          <w:color w:val="000000"/>
          <w:sz w:val="22"/>
          <w:szCs w:val="22"/>
        </w:rPr>
      </w:pPr>
      <w:r>
        <w:rPr>
          <w:rFonts w:ascii="Calibri" w:hAnsi="Calibri" w:cs="Arial"/>
          <w:color w:val="000000"/>
          <w:sz w:val="22"/>
          <w:szCs w:val="22"/>
        </w:rPr>
        <w:t>Presentations to the educational community (Schools, University’s etc.)</w:t>
      </w:r>
    </w:p>
    <w:p w:rsidR="00015EDA" w:rsidRDefault="00015EDA" w:rsidP="00015EDA">
      <w:pPr>
        <w:pStyle w:val="NormalWeb"/>
        <w:numPr>
          <w:ilvl w:val="0"/>
          <w:numId w:val="24"/>
        </w:numPr>
        <w:spacing w:before="0" w:beforeAutospacing="0" w:after="160" w:afterAutospacing="0"/>
        <w:ind w:left="1080"/>
        <w:jc w:val="both"/>
        <w:textAlignment w:val="baseline"/>
        <w:rPr>
          <w:rFonts w:ascii="Arial" w:hAnsi="Arial" w:cs="Arial"/>
          <w:color w:val="000000"/>
          <w:sz w:val="22"/>
          <w:szCs w:val="22"/>
        </w:rPr>
      </w:pPr>
      <w:r>
        <w:rPr>
          <w:rFonts w:ascii="Calibri" w:hAnsi="Calibri" w:cs="Arial"/>
          <w:color w:val="000000"/>
          <w:sz w:val="22"/>
          <w:szCs w:val="22"/>
        </w:rPr>
        <w:t>Sponsoring of eco-friendly initiatives and events</w:t>
      </w:r>
    </w:p>
    <w:p w:rsidR="00015EDA" w:rsidRDefault="00015EDA" w:rsidP="00015EDA">
      <w:pPr>
        <w:pStyle w:val="NormalWeb"/>
        <w:spacing w:before="0" w:beforeAutospacing="0" w:after="160" w:afterAutospacing="0"/>
        <w:ind w:left="720"/>
        <w:jc w:val="both"/>
      </w:pPr>
      <w:r>
        <w:rPr>
          <w:rFonts w:ascii="Calibri" w:hAnsi="Calibri"/>
          <w:color w:val="000000"/>
          <w:sz w:val="22"/>
          <w:szCs w:val="22"/>
        </w:rPr>
        <w:t>The sub categories of the promotion phase of the marketing strategy can be broken down into the following sub categories:</w:t>
      </w:r>
    </w:p>
    <w:p w:rsidR="00015EDA" w:rsidRDefault="00015EDA" w:rsidP="00015EDA">
      <w:pPr>
        <w:pStyle w:val="NormalWeb"/>
        <w:numPr>
          <w:ilvl w:val="0"/>
          <w:numId w:val="25"/>
        </w:numPr>
        <w:spacing w:before="0" w:beforeAutospacing="0" w:after="0" w:afterAutospacing="0"/>
        <w:ind w:left="1440"/>
        <w:jc w:val="both"/>
        <w:textAlignment w:val="baseline"/>
        <w:rPr>
          <w:rFonts w:ascii="Arial" w:hAnsi="Arial" w:cs="Arial"/>
          <w:color w:val="000000"/>
          <w:sz w:val="22"/>
          <w:szCs w:val="22"/>
        </w:rPr>
      </w:pPr>
      <w:r>
        <w:rPr>
          <w:rFonts w:ascii="Calibri" w:hAnsi="Calibri" w:cs="Arial"/>
          <w:color w:val="000000"/>
          <w:sz w:val="22"/>
          <w:szCs w:val="22"/>
        </w:rPr>
        <w:t>Positioning: What is the message that states the benefits of the product?</w:t>
      </w:r>
    </w:p>
    <w:p w:rsidR="00015EDA" w:rsidRDefault="00015EDA" w:rsidP="00015EDA">
      <w:pPr>
        <w:pStyle w:val="NormalWeb"/>
        <w:numPr>
          <w:ilvl w:val="1"/>
          <w:numId w:val="26"/>
        </w:numPr>
        <w:spacing w:before="0" w:beforeAutospacing="0" w:after="0" w:afterAutospacing="0"/>
        <w:ind w:left="2160"/>
        <w:jc w:val="both"/>
        <w:textAlignment w:val="baseline"/>
        <w:rPr>
          <w:rFonts w:ascii="Arial" w:hAnsi="Arial" w:cs="Arial"/>
          <w:color w:val="000000"/>
          <w:sz w:val="22"/>
          <w:szCs w:val="22"/>
        </w:rPr>
      </w:pPr>
      <w:r>
        <w:rPr>
          <w:rFonts w:ascii="Calibri" w:hAnsi="Calibri" w:cs="Arial"/>
          <w:color w:val="000000"/>
          <w:sz w:val="22"/>
          <w:szCs w:val="22"/>
        </w:rPr>
        <w:t>For Methanex the positioning is outlined above. For investors the potential to make a profit selling methanol made from bio fuels is the key benefit. It is also however very important to push forward how environmentally beneficial the project will be, this key fact will be crucial to winning over the general public as well as investors who are on the fence about investing. It is also key to convince farmers that the project will be beneficial to them in terms of money saved and the positive impact it will have on New Zealand</w:t>
      </w:r>
    </w:p>
    <w:p w:rsidR="00015EDA" w:rsidRDefault="00015EDA" w:rsidP="00015EDA">
      <w:pPr>
        <w:pStyle w:val="NormalWeb"/>
        <w:numPr>
          <w:ilvl w:val="0"/>
          <w:numId w:val="26"/>
        </w:numPr>
        <w:spacing w:before="0" w:beforeAutospacing="0" w:after="0" w:afterAutospacing="0"/>
        <w:ind w:left="1440"/>
        <w:jc w:val="both"/>
        <w:textAlignment w:val="baseline"/>
        <w:rPr>
          <w:rFonts w:ascii="Arial" w:hAnsi="Arial" w:cs="Arial"/>
          <w:color w:val="000000"/>
          <w:sz w:val="22"/>
          <w:szCs w:val="22"/>
        </w:rPr>
      </w:pPr>
      <w:r>
        <w:rPr>
          <w:rFonts w:ascii="Calibri" w:hAnsi="Calibri" w:cs="Arial"/>
          <w:color w:val="000000"/>
          <w:sz w:val="22"/>
          <w:szCs w:val="22"/>
        </w:rPr>
        <w:t>Selling: Direct or indirectly through others?</w:t>
      </w:r>
    </w:p>
    <w:p w:rsidR="00015EDA" w:rsidRDefault="00015EDA" w:rsidP="00015EDA">
      <w:pPr>
        <w:pStyle w:val="NormalWeb"/>
        <w:numPr>
          <w:ilvl w:val="1"/>
          <w:numId w:val="26"/>
        </w:numPr>
        <w:spacing w:before="0" w:beforeAutospacing="0" w:after="0" w:afterAutospacing="0"/>
        <w:ind w:left="2160"/>
        <w:jc w:val="both"/>
        <w:textAlignment w:val="baseline"/>
        <w:rPr>
          <w:rFonts w:ascii="Arial" w:hAnsi="Arial" w:cs="Arial"/>
          <w:color w:val="000000"/>
          <w:sz w:val="22"/>
          <w:szCs w:val="22"/>
        </w:rPr>
      </w:pPr>
      <w:r>
        <w:rPr>
          <w:rFonts w:ascii="Calibri" w:hAnsi="Calibri" w:cs="Arial"/>
          <w:color w:val="000000"/>
          <w:sz w:val="22"/>
          <w:szCs w:val="22"/>
        </w:rPr>
        <w:t>There are two aspects to selling in the project:</w:t>
      </w:r>
    </w:p>
    <w:p w:rsidR="00015EDA" w:rsidRDefault="00015EDA" w:rsidP="00015EDA">
      <w:pPr>
        <w:pStyle w:val="NormalWeb"/>
        <w:numPr>
          <w:ilvl w:val="2"/>
          <w:numId w:val="27"/>
        </w:numPr>
        <w:spacing w:before="0" w:beforeAutospacing="0" w:after="0" w:afterAutospacing="0"/>
        <w:ind w:left="2880"/>
        <w:jc w:val="both"/>
        <w:textAlignment w:val="baseline"/>
        <w:rPr>
          <w:rFonts w:ascii="Arial" w:hAnsi="Arial" w:cs="Arial"/>
          <w:color w:val="000000"/>
          <w:sz w:val="22"/>
          <w:szCs w:val="22"/>
        </w:rPr>
      </w:pPr>
      <w:r>
        <w:rPr>
          <w:rFonts w:ascii="Calibri" w:hAnsi="Calibri" w:cs="Arial"/>
          <w:b/>
          <w:bCs/>
          <w:color w:val="000000"/>
          <w:sz w:val="22"/>
          <w:szCs w:val="22"/>
        </w:rPr>
        <w:t>Selling the methanol:</w:t>
      </w:r>
      <w:r>
        <w:rPr>
          <w:rFonts w:ascii="Calibri" w:hAnsi="Calibri" w:cs="Arial"/>
          <w:color w:val="000000"/>
          <w:sz w:val="22"/>
          <w:szCs w:val="22"/>
        </w:rPr>
        <w:t xml:space="preserve"> Methanex already has an established catalogue of customers that it already supplies methanol to. There is an </w:t>
      </w:r>
      <w:r>
        <w:rPr>
          <w:rFonts w:ascii="Calibri" w:hAnsi="Calibri" w:cs="Arial"/>
          <w:color w:val="000000"/>
          <w:sz w:val="22"/>
          <w:szCs w:val="22"/>
        </w:rPr>
        <w:lastRenderedPageBreak/>
        <w:t>opportunity to sell the methanol made through this project at a premium because of its environmentally friendly manufacturing process. Methanex already has the logistical and sales resources to find additional customers to sell methanol too.</w:t>
      </w:r>
    </w:p>
    <w:p w:rsidR="00015EDA" w:rsidRDefault="00015EDA" w:rsidP="00015EDA">
      <w:pPr>
        <w:pStyle w:val="NormalWeb"/>
        <w:numPr>
          <w:ilvl w:val="2"/>
          <w:numId w:val="27"/>
        </w:numPr>
        <w:spacing w:before="0" w:beforeAutospacing="0" w:after="0" w:afterAutospacing="0"/>
        <w:ind w:left="2880"/>
        <w:jc w:val="both"/>
        <w:textAlignment w:val="baseline"/>
        <w:rPr>
          <w:rFonts w:ascii="Arial" w:hAnsi="Arial" w:cs="Arial"/>
          <w:color w:val="000000"/>
          <w:sz w:val="22"/>
          <w:szCs w:val="22"/>
        </w:rPr>
      </w:pPr>
      <w:r>
        <w:rPr>
          <w:rFonts w:ascii="Calibri" w:hAnsi="Calibri" w:cs="Arial"/>
          <w:b/>
          <w:bCs/>
          <w:color w:val="000000"/>
          <w:sz w:val="22"/>
          <w:szCs w:val="22"/>
        </w:rPr>
        <w:t>Selling to farmers the idea allowing methane to set up biogas systems on their farm:</w:t>
      </w:r>
      <w:r>
        <w:rPr>
          <w:rFonts w:ascii="Calibri" w:hAnsi="Calibri" w:cs="Arial"/>
          <w:color w:val="000000"/>
          <w:sz w:val="22"/>
          <w:szCs w:val="22"/>
        </w:rPr>
        <w:t xml:space="preserve"> To achieve this Methanex will directly contact possible farmers via the public relations and marketing department which will be solely working on this project. The goal will be to convince the farmers that having free fertiliser and a greener product is worth having a biogas system on their farm. </w:t>
      </w:r>
    </w:p>
    <w:p w:rsidR="00015EDA" w:rsidRDefault="00015EDA" w:rsidP="00015EDA">
      <w:pPr>
        <w:pStyle w:val="NormalWeb"/>
        <w:numPr>
          <w:ilvl w:val="0"/>
          <w:numId w:val="27"/>
        </w:numPr>
        <w:spacing w:before="0" w:beforeAutospacing="0" w:after="0" w:afterAutospacing="0"/>
        <w:ind w:left="1440"/>
        <w:jc w:val="both"/>
        <w:textAlignment w:val="baseline"/>
        <w:rPr>
          <w:rFonts w:ascii="Arial" w:hAnsi="Arial" w:cs="Arial"/>
          <w:color w:val="000000"/>
          <w:sz w:val="22"/>
          <w:szCs w:val="22"/>
        </w:rPr>
      </w:pPr>
      <w:r>
        <w:rPr>
          <w:rFonts w:ascii="Calibri" w:hAnsi="Calibri" w:cs="Arial"/>
          <w:color w:val="000000"/>
          <w:sz w:val="22"/>
          <w:szCs w:val="22"/>
        </w:rPr>
        <w:t>Communications: How will people be informed about the product?</w:t>
      </w:r>
    </w:p>
    <w:p w:rsidR="00015EDA" w:rsidRDefault="00015EDA" w:rsidP="00015EDA">
      <w:pPr>
        <w:pStyle w:val="NormalWeb"/>
        <w:numPr>
          <w:ilvl w:val="2"/>
          <w:numId w:val="27"/>
        </w:numPr>
        <w:spacing w:before="0" w:beforeAutospacing="0" w:after="0" w:afterAutospacing="0"/>
        <w:ind w:left="2880"/>
        <w:jc w:val="both"/>
        <w:textAlignment w:val="baseline"/>
        <w:rPr>
          <w:rFonts w:ascii="Arial" w:hAnsi="Arial" w:cs="Arial"/>
          <w:color w:val="000000"/>
          <w:sz w:val="22"/>
          <w:szCs w:val="22"/>
        </w:rPr>
      </w:pPr>
      <w:r>
        <w:rPr>
          <w:rFonts w:ascii="Calibri" w:hAnsi="Calibri" w:cs="Arial"/>
          <w:color w:val="000000"/>
          <w:sz w:val="22"/>
          <w:szCs w:val="22"/>
        </w:rPr>
        <w:t>The major goal of Methanex with this project is to inform the farming community about the benefits of having a biogas system on their farm. The success of the prototype system will be crucial in showcasing this throughout the project. Before and after prototype construction a sustained effort to recruit new farmers and spread information will be carried out in the form of advertising at farming events, information evenings and meetings.</w:t>
      </w:r>
    </w:p>
    <w:p w:rsidR="00015EDA" w:rsidRDefault="00015EDA" w:rsidP="00015EDA">
      <w:pPr>
        <w:pStyle w:val="NormalWeb"/>
        <w:numPr>
          <w:ilvl w:val="0"/>
          <w:numId w:val="27"/>
        </w:numPr>
        <w:spacing w:before="0" w:beforeAutospacing="0" w:after="0" w:afterAutospacing="0"/>
        <w:ind w:left="1440"/>
        <w:jc w:val="both"/>
        <w:textAlignment w:val="baseline"/>
        <w:rPr>
          <w:rFonts w:ascii="Arial" w:hAnsi="Arial" w:cs="Arial"/>
          <w:color w:val="000000"/>
          <w:sz w:val="22"/>
          <w:szCs w:val="22"/>
        </w:rPr>
      </w:pPr>
      <w:r>
        <w:rPr>
          <w:rFonts w:ascii="Calibri" w:hAnsi="Calibri" w:cs="Arial"/>
          <w:color w:val="000000"/>
          <w:sz w:val="22"/>
          <w:szCs w:val="22"/>
        </w:rPr>
        <w:t>Support and service: How Does the customer get help if systems aren’t performing?</w:t>
      </w:r>
    </w:p>
    <w:p w:rsidR="00015EDA" w:rsidRDefault="00015EDA" w:rsidP="00015EDA">
      <w:pPr>
        <w:pStyle w:val="NormalWeb"/>
        <w:numPr>
          <w:ilvl w:val="1"/>
          <w:numId w:val="27"/>
        </w:numPr>
        <w:spacing w:before="0" w:beforeAutospacing="0" w:after="160" w:afterAutospacing="0"/>
        <w:ind w:left="2160"/>
        <w:jc w:val="both"/>
        <w:textAlignment w:val="baseline"/>
        <w:rPr>
          <w:rFonts w:ascii="Arial" w:hAnsi="Arial" w:cs="Arial"/>
          <w:color w:val="000000"/>
          <w:sz w:val="22"/>
          <w:szCs w:val="22"/>
        </w:rPr>
      </w:pPr>
      <w:r>
        <w:rPr>
          <w:rFonts w:ascii="Calibri" w:hAnsi="Calibri" w:cs="Arial"/>
          <w:color w:val="000000"/>
          <w:sz w:val="22"/>
          <w:szCs w:val="22"/>
        </w:rPr>
        <w:t>The biogas systems on the farms will be owned and operated by Methanex, any repairs needed to the system are payed and budgeted for by Methanex, who will be taking an active role in the upkeep. Methanex is a well-established company, it has customer service systems in place should a farmer have any problems with the system.</w:t>
      </w:r>
    </w:p>
    <w:p w:rsidR="00015EDA" w:rsidRDefault="00015EDA" w:rsidP="00015EDA">
      <w:pPr>
        <w:pStyle w:val="NormalWeb"/>
        <w:spacing w:before="0" w:beforeAutospacing="0" w:after="160" w:afterAutospacing="0"/>
        <w:jc w:val="both"/>
      </w:pPr>
      <w:r>
        <w:rPr>
          <w:rFonts w:ascii="Calibri" w:hAnsi="Calibri"/>
          <w:color w:val="000000"/>
          <w:sz w:val="22"/>
          <w:szCs w:val="22"/>
        </w:rPr>
        <w:t>To ensure that the marketing strategy listed above is implemented properly and successful, several things need to be formed within the project:</w:t>
      </w:r>
    </w:p>
    <w:p w:rsidR="00015EDA" w:rsidRDefault="00015EDA" w:rsidP="00015EDA">
      <w:pPr>
        <w:pStyle w:val="NormalWeb"/>
        <w:numPr>
          <w:ilvl w:val="0"/>
          <w:numId w:val="28"/>
        </w:numPr>
        <w:spacing w:before="0" w:beforeAutospacing="0" w:after="160" w:afterAutospacing="0"/>
        <w:jc w:val="both"/>
        <w:textAlignment w:val="baseline"/>
        <w:rPr>
          <w:rFonts w:ascii="Arial" w:hAnsi="Arial" w:cs="Arial"/>
          <w:b/>
          <w:bCs/>
          <w:color w:val="000000"/>
          <w:sz w:val="22"/>
          <w:szCs w:val="22"/>
        </w:rPr>
      </w:pPr>
      <w:r>
        <w:rPr>
          <w:rFonts w:ascii="Calibri" w:hAnsi="Calibri" w:cs="Arial"/>
          <w:b/>
          <w:bCs/>
          <w:color w:val="000000"/>
          <w:sz w:val="22"/>
          <w:szCs w:val="22"/>
        </w:rPr>
        <w:t>DMU (Decision making unit)</w:t>
      </w:r>
    </w:p>
    <w:p w:rsidR="00015EDA" w:rsidRDefault="00015EDA" w:rsidP="00015EDA">
      <w:pPr>
        <w:pStyle w:val="NormalWeb"/>
        <w:spacing w:before="0" w:beforeAutospacing="0" w:after="160" w:afterAutospacing="0"/>
        <w:ind w:left="720"/>
        <w:jc w:val="both"/>
      </w:pPr>
      <w:r>
        <w:rPr>
          <w:rFonts w:ascii="Calibri" w:hAnsi="Calibri"/>
          <w:color w:val="000000"/>
          <w:sz w:val="22"/>
          <w:szCs w:val="22"/>
        </w:rPr>
        <w:t>A DMU consists of all people within the project who play a role in any decision making on spending finances. The DMU’s goal is to have successful communication between everyone with the unit.</w:t>
      </w:r>
    </w:p>
    <w:p w:rsidR="00015EDA" w:rsidRDefault="00015EDA" w:rsidP="00015EDA">
      <w:pPr>
        <w:pStyle w:val="NormalWeb"/>
        <w:numPr>
          <w:ilvl w:val="0"/>
          <w:numId w:val="29"/>
        </w:numPr>
        <w:spacing w:before="0" w:beforeAutospacing="0" w:after="160" w:afterAutospacing="0"/>
        <w:jc w:val="both"/>
        <w:textAlignment w:val="baseline"/>
        <w:rPr>
          <w:rFonts w:ascii="Arial" w:hAnsi="Arial" w:cs="Arial"/>
          <w:b/>
          <w:bCs/>
          <w:color w:val="000000"/>
          <w:sz w:val="22"/>
          <w:szCs w:val="22"/>
        </w:rPr>
      </w:pPr>
      <w:r>
        <w:rPr>
          <w:rFonts w:ascii="Calibri" w:hAnsi="Calibri" w:cs="Arial"/>
          <w:b/>
          <w:bCs/>
          <w:color w:val="000000"/>
          <w:sz w:val="22"/>
          <w:szCs w:val="22"/>
        </w:rPr>
        <w:t>DMP (Decision making process)</w:t>
      </w:r>
    </w:p>
    <w:p w:rsidR="00015EDA" w:rsidRDefault="00015EDA" w:rsidP="00015EDA">
      <w:pPr>
        <w:pStyle w:val="NormalWeb"/>
        <w:spacing w:before="0" w:beforeAutospacing="0" w:after="160" w:afterAutospacing="0"/>
        <w:ind w:left="720"/>
        <w:jc w:val="both"/>
      </w:pPr>
      <w:r>
        <w:rPr>
          <w:rFonts w:ascii="Calibri" w:hAnsi="Calibri"/>
          <w:color w:val="000000"/>
          <w:sz w:val="22"/>
          <w:szCs w:val="22"/>
        </w:rPr>
        <w:t>A DMP is the process which everyone in the DMU should follow, this process should be freely available and clear for everyone who reads it to understand.</w:t>
      </w:r>
    </w:p>
    <w:p w:rsidR="00015EDA" w:rsidRDefault="00015EDA" w:rsidP="00015EDA">
      <w:pPr>
        <w:pStyle w:val="Heading2"/>
        <w:ind w:firstLine="720"/>
      </w:pPr>
      <w:bookmarkStart w:id="21" w:name="_Toc463540072"/>
      <w:r>
        <w:t>7.3 Competitive Advantage</w:t>
      </w:r>
      <w:bookmarkEnd w:id="21"/>
    </w:p>
    <w:p w:rsidR="00015EDA" w:rsidRDefault="00015EDA" w:rsidP="00015EDA">
      <w:pPr>
        <w:pStyle w:val="Heading3"/>
        <w:ind w:left="720" w:firstLine="720"/>
        <w:jc w:val="both"/>
      </w:pPr>
      <w:bookmarkStart w:id="22" w:name="_Toc463540073"/>
      <w:r>
        <w:t>7.3.1 Definition</w:t>
      </w:r>
      <w:bookmarkEnd w:id="22"/>
    </w:p>
    <w:p w:rsidR="00015EDA" w:rsidRDefault="00015EDA" w:rsidP="00015EDA">
      <w:pPr>
        <w:jc w:val="both"/>
      </w:pPr>
      <w:r>
        <w:t>Competitive advantage is defined as an advantage that a company has over its competitors that it can leverage to obtain greater market share and profits, allowing it to be more successful in the market. Competitive advantage can be obtained through a number of methods, each of which have their own strengths and weaknesses.</w:t>
      </w:r>
    </w:p>
    <w:p w:rsidR="00015EDA" w:rsidRDefault="00015EDA" w:rsidP="00015EDA">
      <w:pPr>
        <w:pStyle w:val="Heading3"/>
        <w:ind w:left="720" w:firstLine="720"/>
        <w:jc w:val="both"/>
      </w:pPr>
      <w:bookmarkStart w:id="23" w:name="_Toc463540074"/>
      <w:r>
        <w:t>7.3.2 Relevance</w:t>
      </w:r>
      <w:bookmarkEnd w:id="23"/>
    </w:p>
    <w:p w:rsidR="00015EDA" w:rsidRDefault="00015EDA" w:rsidP="00015EDA">
      <w:pPr>
        <w:jc w:val="both"/>
      </w:pPr>
      <w:r>
        <w:t>The success of the new Methanex venture depends very much on market uptake. Methanex must aim to create a sustainable competitive advantage with the methanol plants to achieve long term gain.</w:t>
      </w:r>
    </w:p>
    <w:p w:rsidR="00015EDA" w:rsidRDefault="00015EDA" w:rsidP="00015EDA">
      <w:pPr>
        <w:pStyle w:val="Heading3"/>
        <w:ind w:left="720" w:firstLine="720"/>
        <w:jc w:val="both"/>
      </w:pPr>
      <w:bookmarkStart w:id="24" w:name="_Toc463540075"/>
      <w:r>
        <w:t>7.3.3 Resource based competitive advantage</w:t>
      </w:r>
      <w:bookmarkEnd w:id="24"/>
    </w:p>
    <w:p w:rsidR="00015EDA" w:rsidRDefault="00015EDA" w:rsidP="00015EDA">
      <w:pPr>
        <w:jc w:val="both"/>
      </w:pPr>
      <w:r>
        <w:t xml:space="preserve">Resource based competitive advantage operates on the principle of creating a rare, inimitable and valuable product. The creation of a service with these attributes will create a desire for market uptake </w:t>
      </w:r>
      <w:r>
        <w:lastRenderedPageBreak/>
        <w:t>and increase sales over competitors. Sustainable competitive advantage is difficult to achieve due to the high likelihood of change in one of the characteristics outside of the control of Methanex.</w:t>
      </w:r>
    </w:p>
    <w:p w:rsidR="00015EDA" w:rsidRDefault="00015EDA" w:rsidP="00015EDA">
      <w:pPr>
        <w:keepNext/>
        <w:jc w:val="center"/>
      </w:pPr>
      <w:r>
        <w:rPr>
          <w:noProof/>
          <w:lang w:eastAsia="en-NZ"/>
        </w:rPr>
        <w:drawing>
          <wp:inline distT="0" distB="0" distL="0" distR="0" wp14:anchorId="478EA4B1" wp14:editId="46510260">
            <wp:extent cx="4261449" cy="2225615"/>
            <wp:effectExtent l="0" t="0" r="2540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015EDA" w:rsidRDefault="00015EDA" w:rsidP="00015EDA">
      <w:pPr>
        <w:pStyle w:val="Caption"/>
        <w:jc w:val="center"/>
      </w:pPr>
      <w:r>
        <w:t xml:space="preserve">Figure </w:t>
      </w:r>
      <w:r w:rsidR="006566FB">
        <w:fldChar w:fldCharType="begin"/>
      </w:r>
      <w:r w:rsidR="006566FB">
        <w:instrText xml:space="preserve"> SEQ Figu</w:instrText>
      </w:r>
      <w:r w:rsidR="006566FB">
        <w:instrText xml:space="preserve">re \* ARABIC </w:instrText>
      </w:r>
      <w:r w:rsidR="006566FB">
        <w:fldChar w:fldCharType="separate"/>
      </w:r>
      <w:r>
        <w:rPr>
          <w:noProof/>
        </w:rPr>
        <w:t>8</w:t>
      </w:r>
      <w:r w:rsidR="006566FB">
        <w:rPr>
          <w:noProof/>
        </w:rPr>
        <w:fldChar w:fldCharType="end"/>
      </w:r>
      <w:r>
        <w:t xml:space="preserve">: </w:t>
      </w:r>
      <w:r w:rsidRPr="00313A1D">
        <w:t>Resource based competitive advantage</w:t>
      </w:r>
    </w:p>
    <w:p w:rsidR="00015EDA" w:rsidRDefault="00015EDA" w:rsidP="00015EDA">
      <w:pPr>
        <w:pStyle w:val="Heading3"/>
        <w:ind w:left="720" w:firstLine="720"/>
      </w:pPr>
      <w:bookmarkStart w:id="25" w:name="_Toc463540076"/>
      <w:r>
        <w:t>7.3.4 Recommendation</w:t>
      </w:r>
      <w:bookmarkEnd w:id="25"/>
    </w:p>
    <w:p w:rsidR="00015EDA" w:rsidRDefault="00015EDA" w:rsidP="00015EDA">
      <w:pPr>
        <w:jc w:val="both"/>
      </w:pPr>
      <w:r>
        <w:t>It is recommended that Methanex focus on distributing the methanol produced from bio-gas through its existing network of methanol customers and even perhaps add a premium for the added benefit that the methane to create the methanol has been sourced renewably. The relatively high manufacturing and operating costs for this new venture of the Methanex Company render a cost leadership structure ineffective. Methanex must differentiate themselves from competitors. The nature of the venture is well suited to this seen as there is no commercial operation collecting biogas for methanol production operating locally or abroad. Methanex has an existing advantage as it already possesses the know-how of methane to methanol conversion via steam reforming. All it must do is successfully implement this process, using dairy farm biogas rather than natural gas feedstock. Therefore, if Methanex can simply commission and operate their methanol plants a competitive advantage will be created immediately.</w:t>
      </w:r>
    </w:p>
    <w:p w:rsidR="00015EDA" w:rsidRDefault="00015EDA" w:rsidP="00015EDA">
      <w:pPr>
        <w:pStyle w:val="NormalWeb"/>
        <w:spacing w:before="0" w:beforeAutospacing="0" w:after="160" w:afterAutospacing="0"/>
        <w:jc w:val="both"/>
      </w:pPr>
    </w:p>
    <w:p w:rsidR="00015EDA" w:rsidRPr="004954D7" w:rsidRDefault="00015EDA" w:rsidP="00015EDA">
      <w:pPr>
        <w:pStyle w:val="Heading2"/>
        <w:ind w:firstLine="720"/>
      </w:pPr>
      <w:bookmarkStart w:id="26" w:name="_Toc463540077"/>
      <w:r>
        <w:t xml:space="preserve">7.4 </w:t>
      </w:r>
      <w:r w:rsidRPr="004954D7">
        <w:t>Intellectual Property</w:t>
      </w:r>
      <w:bookmarkEnd w:id="26"/>
    </w:p>
    <w:p w:rsidR="00015EDA" w:rsidRPr="004954D7" w:rsidRDefault="00015EDA" w:rsidP="00015EDA">
      <w:pPr>
        <w:pStyle w:val="Heading3"/>
        <w:ind w:left="720" w:firstLine="720"/>
      </w:pPr>
      <w:bookmarkStart w:id="27" w:name="_Toc463540078"/>
      <w:r>
        <w:t xml:space="preserve">7.4.1 </w:t>
      </w:r>
      <w:r w:rsidRPr="004954D7">
        <w:t>Background</w:t>
      </w:r>
      <w:bookmarkEnd w:id="27"/>
    </w:p>
    <w:p w:rsidR="00015EDA" w:rsidRPr="0057133E" w:rsidRDefault="00015EDA" w:rsidP="00015EDA">
      <w:pPr>
        <w:spacing w:after="40" w:line="240" w:lineRule="auto"/>
        <w:jc w:val="both"/>
      </w:pPr>
      <w:r w:rsidRPr="0057133E">
        <w:t>Intellectual property is usually enforced in the form of patents for technological ventures. They do not give the holder the right to develop a certain technology or invention, but rather exclude other parties from doing so. In this way, patents are an effective means to ensure competitive advantage as the</w:t>
      </w:r>
      <w:r>
        <w:t>y</w:t>
      </w:r>
      <w:r w:rsidRPr="0057133E">
        <w:t xml:space="preserve"> enable the holder to develop a unique product or inve</w:t>
      </w:r>
      <w:r>
        <w:t>ntion. Patents are usually vali</w:t>
      </w:r>
      <w:r w:rsidRPr="0057133E">
        <w:t>d for a period of 20 years, meaning that the advantage gained by the holder of the enforce</w:t>
      </w:r>
      <w:r>
        <w:t>d patent is temporary, allowing</w:t>
      </w:r>
      <w:r w:rsidRPr="0057133E">
        <w:t xml:space="preserve"> others to implement the same technology after patent expiry. A patent can be sold, licensed, mortgaged, assigned, given away or abandoned.</w:t>
      </w:r>
    </w:p>
    <w:p w:rsidR="00015EDA" w:rsidRPr="004954D7" w:rsidRDefault="00015EDA" w:rsidP="00015EDA">
      <w:pPr>
        <w:pStyle w:val="Heading3"/>
        <w:ind w:left="720" w:firstLine="720"/>
      </w:pPr>
      <w:bookmarkStart w:id="28" w:name="_Toc463540079"/>
      <w:r>
        <w:t xml:space="preserve">7.4.2 </w:t>
      </w:r>
      <w:r w:rsidRPr="004954D7">
        <w:t>Approach</w:t>
      </w:r>
      <w:bookmarkEnd w:id="28"/>
    </w:p>
    <w:p w:rsidR="00015EDA" w:rsidRPr="0057133E" w:rsidRDefault="00015EDA" w:rsidP="00015EDA">
      <w:pPr>
        <w:spacing w:after="40" w:line="240" w:lineRule="auto"/>
        <w:jc w:val="both"/>
      </w:pPr>
      <w:r w:rsidRPr="0057133E">
        <w:t xml:space="preserve">A key activity during the risk assessment phase that was identified was obtaining protection for intellectual property. It is useful for maximising identified opportunities, such as maximising competitive advantage over rival companies and minimising threats. The process of steam reforming methane into methanol is already an established process that Methanex undertakes on a large scale using natural gas feedstocks. The biogas venture would simply involve extending the existing procedures and know-how of steam reforming that Methanex has for the new biogas context. There are existing patents surrounding these procedures that Methanex already holds or uses under license. </w:t>
      </w:r>
      <w:r w:rsidRPr="0057133E">
        <w:lastRenderedPageBreak/>
        <w:t>However, in terms of bio-processors, the system is relatively simple and there is a good opportunity to improve its efficiency through technological know-how. There is a threat that rival companies may have patents already complete or pending, meaning there may be an associated cost in terms of legal settlement to negotiate usage terms of the patents. This settlement will be in the form of royalties and would be paid to the patent holder in return for the use of the patented technology.</w:t>
      </w:r>
    </w:p>
    <w:p w:rsidR="00015EDA" w:rsidRPr="0057133E" w:rsidRDefault="00015EDA" w:rsidP="00015EDA">
      <w:pPr>
        <w:spacing w:after="40" w:line="240" w:lineRule="auto"/>
        <w:jc w:val="both"/>
      </w:pPr>
      <w:r w:rsidRPr="0057133E">
        <w:t>There is opportunity for multiple patents in the field of creating methanol from biogas due to the innovation that is possible. The technology has existed for some time however it has not been applied in this vain before, so there is opportunity to refine and improve the technology for more efficient implementation. This could lead to new patents from innovations that Methanex has created. Should the innovation prove to be un-patentable, Methanex should aim to maintain secrecy regarding their developments.</w:t>
      </w:r>
    </w:p>
    <w:p w:rsidR="00015EDA" w:rsidRDefault="00015EDA" w:rsidP="00015EDA">
      <w:pPr>
        <w:pStyle w:val="Heading3"/>
        <w:ind w:left="720" w:firstLine="720"/>
      </w:pPr>
      <w:bookmarkStart w:id="29" w:name="_Toc463540080"/>
      <w:r>
        <w:t xml:space="preserve">7.4.3 </w:t>
      </w:r>
      <w:r w:rsidRPr="004954D7">
        <w:t>Current patents</w:t>
      </w:r>
      <w:bookmarkEnd w:id="29"/>
    </w:p>
    <w:p w:rsidR="00015EDA" w:rsidRPr="00202D9A" w:rsidRDefault="00015EDA" w:rsidP="00015EDA">
      <w:pPr>
        <w:rPr>
          <w:b/>
        </w:rPr>
      </w:pPr>
      <w:r w:rsidRPr="00202D9A">
        <w:rPr>
          <w:b/>
        </w:rPr>
        <w:t>New Zealand</w:t>
      </w:r>
    </w:p>
    <w:p w:rsidR="00015EDA" w:rsidRPr="0057133E" w:rsidRDefault="00015EDA" w:rsidP="00015EDA">
      <w:pPr>
        <w:spacing w:after="40" w:line="240" w:lineRule="auto"/>
        <w:jc w:val="both"/>
      </w:pPr>
      <w:r w:rsidRPr="0057133E">
        <w:t>The Intellectual Property Office New Zealand (IPONZ) which stores a database of all current patents in New Zealand contains a lot of patents on processing using methane. Examples of patents issued in the past in New Zealand involving methane and methanol include:</w:t>
      </w:r>
    </w:p>
    <w:p w:rsidR="00015EDA" w:rsidRPr="0057133E" w:rsidRDefault="00015EDA" w:rsidP="00015EDA">
      <w:pPr>
        <w:pStyle w:val="ListParagraph"/>
        <w:numPr>
          <w:ilvl w:val="0"/>
          <w:numId w:val="30"/>
        </w:numPr>
        <w:spacing w:after="40" w:line="240" w:lineRule="auto"/>
        <w:jc w:val="both"/>
      </w:pPr>
      <w:r w:rsidRPr="0057133E">
        <w:t>Method for producing methane from biogas</w:t>
      </w:r>
    </w:p>
    <w:p w:rsidR="00015EDA" w:rsidRPr="0057133E" w:rsidRDefault="00015EDA" w:rsidP="00015EDA">
      <w:pPr>
        <w:spacing w:after="40" w:line="240" w:lineRule="auto"/>
        <w:jc w:val="both"/>
      </w:pPr>
      <w:r w:rsidRPr="0057133E">
        <w:t>This patent has expired since being issued.</w:t>
      </w:r>
    </w:p>
    <w:p w:rsidR="00015EDA" w:rsidRPr="00202D9A" w:rsidRDefault="00015EDA" w:rsidP="00015EDA">
      <w:pPr>
        <w:rPr>
          <w:b/>
        </w:rPr>
      </w:pPr>
      <w:r w:rsidRPr="00202D9A">
        <w:rPr>
          <w:b/>
        </w:rPr>
        <w:t>Worldwide</w:t>
      </w:r>
    </w:p>
    <w:p w:rsidR="00015EDA" w:rsidRDefault="00015EDA" w:rsidP="00015EDA">
      <w:pPr>
        <w:spacing w:after="40" w:line="240" w:lineRule="auto"/>
        <w:jc w:val="both"/>
      </w:pPr>
      <w:r w:rsidRPr="0057133E">
        <w:t>There is a breadth of information available surrounding global patents involving the process of steam reforming to produce methanol from methane. The process is still being d</w:t>
      </w:r>
      <w:r>
        <w:t xml:space="preserve">eveloped to improve efficiency. Listed in the appendices </w:t>
      </w:r>
      <w:r w:rsidRPr="0057133E">
        <w:t>is a list of currently relevant patent literature surrounding the steam reforming process</w:t>
      </w:r>
      <w:r>
        <w:t xml:space="preserve"> and the production of methanol from methane</w:t>
      </w:r>
      <w:r w:rsidRPr="0057133E">
        <w:t>.</w:t>
      </w:r>
    </w:p>
    <w:p w:rsidR="00015EDA" w:rsidRDefault="00015EDA" w:rsidP="00015EDA">
      <w:pPr>
        <w:spacing w:after="40" w:line="240" w:lineRule="auto"/>
        <w:jc w:val="both"/>
      </w:pPr>
    </w:p>
    <w:p w:rsidR="00015EDA" w:rsidRPr="00202D9A" w:rsidRDefault="00015EDA" w:rsidP="00015EDA">
      <w:pPr>
        <w:pStyle w:val="Heading3"/>
        <w:ind w:left="720" w:firstLine="720"/>
      </w:pPr>
      <w:bookmarkStart w:id="30" w:name="_Toc463540081"/>
      <w:r w:rsidRPr="00202D9A">
        <w:t>7.4.4 Summary</w:t>
      </w:r>
      <w:bookmarkEnd w:id="30"/>
    </w:p>
    <w:p w:rsidR="00015EDA" w:rsidRDefault="00015EDA" w:rsidP="00015EDA">
      <w:pPr>
        <w:spacing w:after="40" w:line="240" w:lineRule="auto"/>
        <w:jc w:val="both"/>
      </w:pPr>
      <w:r w:rsidRPr="0057133E">
        <w:t xml:space="preserve">Methanex New Zealand Limited holds a variety of other patents on proprietary technology it has developed in order to maintain its New Zealand assets. </w:t>
      </w:r>
      <w:r>
        <w:t>It operates on a daily basis converting methane to methanol from a natural gas feedstock, so this part of the process should not require any new patent developments. The technology surrounding bioprocessing of organic waste to create biogas has existed for a number of years and is open to further development to improve system efficiencies. There are no current patents involving this specific application of the technology currently issued in New Zealand. It is therefore recommended that Methanex develop the specific application of this technology process and look into the possibility of patenting the procedure as it develops and improves the operation of each of its plants in the early stages of this new business venture. Furthermore, the technology will undergo changes and improvements so the opportunity for future patent application is great, providing a method to secure a mid-term competitive advantage.</w:t>
      </w:r>
    </w:p>
    <w:p w:rsidR="00015EDA" w:rsidRDefault="00015EDA" w:rsidP="00015EDA">
      <w:pPr>
        <w:spacing w:after="40" w:line="240" w:lineRule="auto"/>
        <w:jc w:val="both"/>
      </w:pPr>
    </w:p>
    <w:p w:rsidR="00015EDA" w:rsidRDefault="00015EDA" w:rsidP="00015EDA">
      <w:pPr>
        <w:spacing w:after="40" w:line="240" w:lineRule="auto"/>
        <w:jc w:val="both"/>
      </w:pPr>
    </w:p>
    <w:p w:rsidR="00015EDA" w:rsidRDefault="00015EDA" w:rsidP="00015EDA">
      <w:pPr>
        <w:spacing w:after="40" w:line="240" w:lineRule="auto"/>
        <w:jc w:val="both"/>
      </w:pPr>
    </w:p>
    <w:p w:rsidR="00015EDA" w:rsidRDefault="00015EDA" w:rsidP="00015EDA">
      <w:pPr>
        <w:spacing w:after="40" w:line="240" w:lineRule="auto"/>
        <w:jc w:val="both"/>
      </w:pPr>
    </w:p>
    <w:p w:rsidR="00015EDA" w:rsidRDefault="00015EDA" w:rsidP="00015EDA">
      <w:pPr>
        <w:spacing w:after="40" w:line="240" w:lineRule="auto"/>
        <w:jc w:val="both"/>
      </w:pPr>
    </w:p>
    <w:p w:rsidR="00015EDA" w:rsidRDefault="00015EDA" w:rsidP="00015EDA">
      <w:pPr>
        <w:spacing w:after="40" w:line="240" w:lineRule="auto"/>
        <w:jc w:val="both"/>
      </w:pPr>
    </w:p>
    <w:p w:rsidR="00015EDA" w:rsidRDefault="00015EDA" w:rsidP="00015EDA">
      <w:pPr>
        <w:spacing w:after="40" w:line="240" w:lineRule="auto"/>
        <w:jc w:val="both"/>
      </w:pPr>
    </w:p>
    <w:p w:rsidR="00015EDA" w:rsidRDefault="00015EDA" w:rsidP="00015EDA">
      <w:pPr>
        <w:spacing w:after="40" w:line="240" w:lineRule="auto"/>
        <w:jc w:val="both"/>
      </w:pPr>
    </w:p>
    <w:p w:rsidR="00015EDA" w:rsidRDefault="00015EDA" w:rsidP="00015EDA">
      <w:pPr>
        <w:spacing w:after="40" w:line="240" w:lineRule="auto"/>
        <w:jc w:val="both"/>
      </w:pPr>
    </w:p>
    <w:p w:rsidR="00015EDA" w:rsidRDefault="00015EDA" w:rsidP="00015EDA">
      <w:pPr>
        <w:spacing w:after="40" w:line="240" w:lineRule="auto"/>
        <w:jc w:val="both"/>
      </w:pPr>
    </w:p>
    <w:p w:rsidR="00015EDA" w:rsidRPr="0057133E" w:rsidRDefault="00015EDA" w:rsidP="00015EDA">
      <w:pPr>
        <w:spacing w:after="40" w:line="240" w:lineRule="auto"/>
        <w:jc w:val="both"/>
      </w:pPr>
    </w:p>
    <w:p w:rsidR="00015EDA" w:rsidRDefault="00015EDA" w:rsidP="00015EDA">
      <w:pPr>
        <w:pStyle w:val="Heading1"/>
      </w:pPr>
      <w:bookmarkStart w:id="31" w:name="_Toc463540082"/>
      <w:r>
        <w:lastRenderedPageBreak/>
        <w:t>8. Sustainability</w:t>
      </w:r>
      <w:bookmarkEnd w:id="31"/>
    </w:p>
    <w:p w:rsidR="00015EDA" w:rsidRDefault="00015EDA" w:rsidP="00015EDA">
      <w:pPr>
        <w:pStyle w:val="NormalWeb"/>
        <w:spacing w:before="0" w:beforeAutospacing="0" w:after="160" w:afterAutospacing="0"/>
        <w:jc w:val="both"/>
      </w:pPr>
      <w:r>
        <w:rPr>
          <w:rFonts w:ascii="Calibri" w:hAnsi="Calibri"/>
          <w:color w:val="000000"/>
          <w:sz w:val="22"/>
          <w:szCs w:val="22"/>
        </w:rPr>
        <w:t>A detailed analysis of the company’s actions was undertaken to determine the sustainability of the venture. Further details are outlined in the appendix.</w:t>
      </w:r>
    </w:p>
    <w:p w:rsidR="00015EDA" w:rsidRDefault="00015EDA" w:rsidP="00015EDA">
      <w:pPr>
        <w:pStyle w:val="NormalWeb"/>
        <w:spacing w:before="0" w:beforeAutospacing="0" w:after="160" w:afterAutospacing="0"/>
        <w:jc w:val="both"/>
        <w:rPr>
          <w:rFonts w:ascii="Calibri" w:hAnsi="Calibri"/>
          <w:color w:val="000000"/>
          <w:sz w:val="22"/>
          <w:szCs w:val="22"/>
        </w:rPr>
      </w:pPr>
      <w:r>
        <w:rPr>
          <w:rFonts w:ascii="Calibri" w:hAnsi="Calibri"/>
          <w:color w:val="000000"/>
          <w:sz w:val="22"/>
          <w:szCs w:val="22"/>
        </w:rPr>
        <w:t>The three pillars of sustainability were used to analyse the impacts of the venture.</w:t>
      </w:r>
    </w:p>
    <w:p w:rsidR="00015EDA" w:rsidRDefault="00015EDA" w:rsidP="00015EDA">
      <w:pPr>
        <w:pStyle w:val="NormalWeb"/>
        <w:spacing w:before="0" w:beforeAutospacing="0" w:after="160" w:afterAutospacing="0"/>
        <w:jc w:val="both"/>
      </w:pPr>
    </w:p>
    <w:p w:rsidR="00015EDA" w:rsidRDefault="00015EDA" w:rsidP="00015EDA">
      <w:pPr>
        <w:pStyle w:val="NormalWeb"/>
        <w:keepNext/>
        <w:spacing w:before="0" w:beforeAutospacing="0" w:after="160" w:afterAutospacing="0"/>
        <w:jc w:val="center"/>
      </w:pPr>
      <w:r>
        <w:rPr>
          <w:noProof/>
        </w:rPr>
        <w:drawing>
          <wp:inline distT="0" distB="0" distL="0" distR="0" wp14:anchorId="2CD5022E" wp14:editId="02C1685F">
            <wp:extent cx="4028919" cy="3254470"/>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ree_Pillars_model_of_Sustainabilit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40301" cy="3263664"/>
                    </a:xfrm>
                    <a:prstGeom prst="rect">
                      <a:avLst/>
                    </a:prstGeom>
                  </pic:spPr>
                </pic:pic>
              </a:graphicData>
            </a:graphic>
          </wp:inline>
        </w:drawing>
      </w:r>
    </w:p>
    <w:p w:rsidR="00015EDA" w:rsidRDefault="00015EDA" w:rsidP="00015EDA">
      <w:pPr>
        <w:pStyle w:val="Caption"/>
        <w:jc w:val="center"/>
      </w:pPr>
      <w:r>
        <w:t xml:space="preserve">Figure </w:t>
      </w:r>
      <w:r w:rsidR="006566FB">
        <w:fldChar w:fldCharType="begin"/>
      </w:r>
      <w:r w:rsidR="006566FB">
        <w:instrText xml:space="preserve"> SEQ Figure \* A</w:instrText>
      </w:r>
      <w:r w:rsidR="006566FB">
        <w:instrText xml:space="preserve">RABIC </w:instrText>
      </w:r>
      <w:r w:rsidR="006566FB">
        <w:fldChar w:fldCharType="separate"/>
      </w:r>
      <w:r>
        <w:rPr>
          <w:noProof/>
        </w:rPr>
        <w:t>9</w:t>
      </w:r>
      <w:r w:rsidR="006566FB">
        <w:rPr>
          <w:noProof/>
        </w:rPr>
        <w:fldChar w:fldCharType="end"/>
      </w:r>
      <w:r>
        <w:t xml:space="preserve">: </w:t>
      </w:r>
      <w:r w:rsidRPr="00986C44">
        <w:t>Three Spheres of Sustainability</w:t>
      </w:r>
      <w:r>
        <w:t xml:space="preserve"> </w:t>
      </w:r>
      <w:sdt>
        <w:sdtPr>
          <w:id w:val="-2064088073"/>
          <w:citation/>
        </w:sdtPr>
        <w:sdtEndPr/>
        <w:sdtContent>
          <w:r>
            <w:fldChar w:fldCharType="begin"/>
          </w:r>
          <w:r>
            <w:instrText xml:space="preserve"> CITATION Dir \l 5129 </w:instrText>
          </w:r>
          <w:r>
            <w:fldChar w:fldCharType="separate"/>
          </w:r>
          <w:r w:rsidR="006D26C9" w:rsidRPr="006D26C9">
            <w:rPr>
              <w:noProof/>
            </w:rPr>
            <w:t>[2]</w:t>
          </w:r>
          <w:r>
            <w:fldChar w:fldCharType="end"/>
          </w:r>
        </w:sdtContent>
      </w:sdt>
    </w:p>
    <w:p w:rsidR="00015EDA" w:rsidRDefault="00015EDA" w:rsidP="00015EDA">
      <w:pPr>
        <w:pStyle w:val="Heading2"/>
        <w:ind w:firstLine="720"/>
      </w:pPr>
      <w:bookmarkStart w:id="32" w:name="_Toc463540083"/>
      <w:r>
        <w:t>8.1 Economic Sustainability</w:t>
      </w:r>
      <w:bookmarkEnd w:id="32"/>
    </w:p>
    <w:p w:rsidR="00015EDA" w:rsidRDefault="00015EDA" w:rsidP="00015EDA">
      <w:pPr>
        <w:pStyle w:val="NormalWeb"/>
        <w:spacing w:before="0" w:beforeAutospacing="0" w:after="160" w:afterAutospacing="0"/>
        <w:jc w:val="both"/>
      </w:pPr>
      <w:r>
        <w:rPr>
          <w:rFonts w:ascii="Calibri" w:hAnsi="Calibri"/>
          <w:color w:val="000000"/>
          <w:sz w:val="22"/>
          <w:szCs w:val="22"/>
        </w:rPr>
        <w:t>Methanol is a very high value product used as a building block for a variety of everyday products and applications and is also used as a clean-burning alternative energy source. The large source of biogas available in New Zealand has the potential to be harnessed to create meaningful energy sources and products. The venture will add economic benefits to local farmers in the form of reduced fertiliser costs and potential access to government financial incentives to reduce greenhouse gas emissions. In addition, it will add value to the national economy through job creation in construction and management of the methanol plants and the production of high value methanol products.</w:t>
      </w:r>
    </w:p>
    <w:p w:rsidR="00015EDA" w:rsidRDefault="00015EDA" w:rsidP="00015EDA">
      <w:pPr>
        <w:pStyle w:val="Heading2"/>
        <w:ind w:firstLine="720"/>
      </w:pPr>
      <w:bookmarkStart w:id="33" w:name="_Toc463540084"/>
      <w:r>
        <w:t>8.2 Social Sustainability</w:t>
      </w:r>
      <w:bookmarkEnd w:id="33"/>
    </w:p>
    <w:p w:rsidR="00015EDA" w:rsidRDefault="00015EDA" w:rsidP="00015EDA">
      <w:pPr>
        <w:pStyle w:val="NormalWeb"/>
        <w:spacing w:before="0" w:beforeAutospacing="0" w:after="160" w:afterAutospacing="0"/>
        <w:jc w:val="both"/>
      </w:pPr>
      <w:r>
        <w:rPr>
          <w:rFonts w:ascii="Calibri" w:hAnsi="Calibri"/>
          <w:color w:val="000000"/>
          <w:sz w:val="22"/>
          <w:szCs w:val="22"/>
        </w:rPr>
        <w:t>The venture in methanol production from biogas has the potential to add great social value to the local community. The added economic value outlined above has an inherent flow on effect for social sustainability, as it has an impact at the local level. As jobs are brought to the local community and more labour is required, the social well-being of the immediate community will benefit as the economic sustainability of the regions increase.</w:t>
      </w:r>
    </w:p>
    <w:p w:rsidR="00015EDA" w:rsidRDefault="00015EDA" w:rsidP="00015EDA">
      <w:pPr>
        <w:pStyle w:val="Heading2"/>
        <w:ind w:firstLine="720"/>
      </w:pPr>
      <w:bookmarkStart w:id="34" w:name="_Toc463540085"/>
      <w:r>
        <w:t>8.3 Environmental Sustainability</w:t>
      </w:r>
      <w:bookmarkEnd w:id="34"/>
    </w:p>
    <w:p w:rsidR="00015EDA" w:rsidRDefault="00015EDA" w:rsidP="00015EDA">
      <w:pPr>
        <w:pStyle w:val="NormalWeb"/>
        <w:spacing w:before="0" w:beforeAutospacing="0" w:after="160" w:afterAutospacing="0"/>
        <w:jc w:val="both"/>
      </w:pPr>
      <w:r>
        <w:rPr>
          <w:rFonts w:ascii="Calibri" w:hAnsi="Calibri"/>
          <w:color w:val="000000"/>
          <w:sz w:val="22"/>
          <w:szCs w:val="22"/>
        </w:rPr>
        <w:t xml:space="preserve">There are a number of environmental benefits associated with the venture. Principally, the reduction in methane emissions is beneficial to all parties. Methane is over 20 times more harmful than carbon dioxide as a greenhouse gas. Another benefit is the reduction in effluent run-off and the reduced necessity for powerful nitrogen fertiliser usage leading to algal blooms that are responsible for severe pollution of New Zealand waterways. The reduction of odours is also another benefit for farm neighbours and communities. Methanol can be used as a sustainable fuel or as a component of </w:t>
      </w:r>
      <w:r>
        <w:rPr>
          <w:rFonts w:ascii="Calibri" w:hAnsi="Calibri"/>
          <w:color w:val="000000"/>
          <w:sz w:val="22"/>
          <w:szCs w:val="22"/>
        </w:rPr>
        <w:lastRenderedPageBreak/>
        <w:t>environmentally friendly biofuel. By lowering society’s dependence on traditional fossil fuels it is hoped that alternative fuel availability, such as methanol or its derivatives, will encourage the necessary shift in thinking to lead to true environmental sustainability.</w:t>
      </w:r>
    </w:p>
    <w:p w:rsidR="00015EDA" w:rsidRDefault="00015EDA" w:rsidP="00015EDA">
      <w:pPr>
        <w:pStyle w:val="Heading1"/>
      </w:pPr>
      <w:bookmarkStart w:id="35" w:name="_Toc463540086"/>
      <w:r>
        <w:t xml:space="preserve">9. </w:t>
      </w:r>
      <w:r w:rsidRPr="00A96826">
        <w:t>Human Resources</w:t>
      </w:r>
      <w:bookmarkEnd w:id="35"/>
    </w:p>
    <w:p w:rsidR="00015EDA" w:rsidRPr="00FD2B92" w:rsidRDefault="00015EDA" w:rsidP="00015EDA">
      <w:pPr>
        <w:jc w:val="both"/>
      </w:pPr>
      <w:r>
        <w:t>The table below outlines the standard rate and the total amount of hours contributed to the project by each employee. Further details regarding human resources can be found in the appendix of the report.</w:t>
      </w:r>
    </w:p>
    <w:tbl>
      <w:tblPr>
        <w:tblW w:w="9016" w:type="dxa"/>
        <w:tblLook w:val="04A0" w:firstRow="1" w:lastRow="0" w:firstColumn="1" w:lastColumn="0" w:noHBand="0" w:noVBand="1"/>
      </w:tblPr>
      <w:tblGrid>
        <w:gridCol w:w="8360"/>
        <w:gridCol w:w="222"/>
        <w:gridCol w:w="222"/>
        <w:gridCol w:w="222"/>
      </w:tblGrid>
      <w:tr w:rsidR="00015EDA" w:rsidRPr="000E0244" w:rsidTr="00334476">
        <w:trPr>
          <w:trHeight w:val="720"/>
        </w:trPr>
        <w:tc>
          <w:tcPr>
            <w:tcW w:w="6201" w:type="dxa"/>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p>
          <w:tbl>
            <w:tblPr>
              <w:tblW w:w="8568" w:type="dxa"/>
              <w:jc w:val="center"/>
              <w:tblCellMar>
                <w:top w:w="15" w:type="dxa"/>
                <w:left w:w="15" w:type="dxa"/>
                <w:bottom w:w="15" w:type="dxa"/>
                <w:right w:w="15" w:type="dxa"/>
              </w:tblCellMar>
              <w:tblLook w:val="04A0" w:firstRow="1" w:lastRow="0" w:firstColumn="1" w:lastColumn="0" w:noHBand="0" w:noVBand="1"/>
            </w:tblPr>
            <w:tblGrid>
              <w:gridCol w:w="3065"/>
              <w:gridCol w:w="1333"/>
              <w:gridCol w:w="1457"/>
              <w:gridCol w:w="2713"/>
            </w:tblGrid>
            <w:tr w:rsidR="00334476" w:rsidRPr="00334476" w:rsidTr="00334476">
              <w:trPr>
                <w:trHeight w:val="669"/>
                <w:jc w:val="center"/>
              </w:trPr>
              <w:tc>
                <w:tcPr>
                  <w:tcW w:w="0" w:type="auto"/>
                  <w:tcBorders>
                    <w:top w:val="single" w:sz="6" w:space="0" w:color="5B9BD5"/>
                    <w:left w:val="single" w:sz="6" w:space="0" w:color="5B9BD5"/>
                    <w:bottom w:val="single" w:sz="6" w:space="0" w:color="5B9BD5"/>
                    <w:right w:val="single" w:sz="2" w:space="0" w:color="000000"/>
                  </w:tcBorders>
                  <w:shd w:val="clear" w:color="auto" w:fill="5B9BD5"/>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Quattrocento Sans" w:eastAsia="Times New Roman" w:hAnsi="Quattrocento Sans" w:cs="Times New Roman"/>
                      <w:b/>
                      <w:bCs/>
                      <w:color w:val="363636"/>
                      <w:sz w:val="24"/>
                      <w:szCs w:val="24"/>
                      <w:lang w:eastAsia="en-NZ"/>
                    </w:rPr>
                    <w:t>Resource Name</w:t>
                  </w:r>
                </w:p>
              </w:tc>
              <w:tc>
                <w:tcPr>
                  <w:tcW w:w="0" w:type="auto"/>
                  <w:tcBorders>
                    <w:top w:val="single" w:sz="6" w:space="0" w:color="5B9BD5"/>
                    <w:left w:val="single" w:sz="2" w:space="0" w:color="000000"/>
                    <w:bottom w:val="single" w:sz="6" w:space="0" w:color="5B9BD5"/>
                    <w:right w:val="single" w:sz="2" w:space="0" w:color="000000"/>
                  </w:tcBorders>
                  <w:shd w:val="clear" w:color="auto" w:fill="5B9BD5"/>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Quattrocento Sans" w:eastAsia="Times New Roman" w:hAnsi="Quattrocento Sans" w:cs="Times New Roman"/>
                      <w:b/>
                      <w:bCs/>
                      <w:color w:val="363636"/>
                      <w:sz w:val="24"/>
                      <w:szCs w:val="24"/>
                      <w:lang w:eastAsia="en-NZ"/>
                    </w:rPr>
                    <w:t>Std. Rate</w:t>
                  </w:r>
                </w:p>
              </w:tc>
              <w:tc>
                <w:tcPr>
                  <w:tcW w:w="0" w:type="auto"/>
                  <w:tcBorders>
                    <w:top w:val="single" w:sz="6" w:space="0" w:color="5B9BD5"/>
                    <w:left w:val="single" w:sz="2" w:space="0" w:color="000000"/>
                    <w:bottom w:val="single" w:sz="6" w:space="0" w:color="5B9BD5"/>
                    <w:right w:val="single" w:sz="2" w:space="0" w:color="000000"/>
                  </w:tcBorders>
                  <w:shd w:val="clear" w:color="auto" w:fill="5B9BD5"/>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Quattrocento Sans" w:eastAsia="Times New Roman" w:hAnsi="Quattrocento Sans" w:cs="Times New Roman"/>
                      <w:b/>
                      <w:bCs/>
                      <w:color w:val="363636"/>
                      <w:sz w:val="24"/>
                      <w:szCs w:val="24"/>
                      <w:lang w:eastAsia="en-NZ"/>
                    </w:rPr>
                    <w:t>Total Hours</w:t>
                  </w:r>
                </w:p>
              </w:tc>
              <w:tc>
                <w:tcPr>
                  <w:tcW w:w="0" w:type="auto"/>
                  <w:tcBorders>
                    <w:top w:val="single" w:sz="6" w:space="0" w:color="5B9BD5"/>
                    <w:left w:val="single" w:sz="2" w:space="0" w:color="000000"/>
                    <w:bottom w:val="single" w:sz="6" w:space="0" w:color="5B9BD5"/>
                    <w:right w:val="single" w:sz="6" w:space="0" w:color="5B9BD5"/>
                  </w:tcBorders>
                  <w:shd w:val="clear" w:color="auto" w:fill="5B9BD5"/>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Quattrocento Sans" w:eastAsia="Times New Roman" w:hAnsi="Quattrocento Sans" w:cs="Times New Roman"/>
                      <w:b/>
                      <w:bCs/>
                      <w:color w:val="363636"/>
                      <w:sz w:val="24"/>
                      <w:szCs w:val="24"/>
                      <w:lang w:eastAsia="en-NZ"/>
                    </w:rPr>
                    <w:t>Cost Throughout project</w:t>
                  </w:r>
                </w:p>
              </w:tc>
            </w:tr>
            <w:tr w:rsidR="00334476" w:rsidRPr="00334476" w:rsidTr="00334476">
              <w:trPr>
                <w:trHeight w:val="237"/>
                <w:jc w:val="center"/>
              </w:trPr>
              <w:tc>
                <w:tcPr>
                  <w:tcW w:w="0" w:type="auto"/>
                  <w:tcBorders>
                    <w:top w:val="single" w:sz="6" w:space="0" w:color="5B9BD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Secretary</w:t>
                  </w:r>
                </w:p>
              </w:tc>
              <w:tc>
                <w:tcPr>
                  <w:tcW w:w="0" w:type="auto"/>
                  <w:tcBorders>
                    <w:top w:val="single" w:sz="6" w:space="0" w:color="5B9BD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$40.00/hr</w:t>
                  </w:r>
                </w:p>
              </w:tc>
              <w:tc>
                <w:tcPr>
                  <w:tcW w:w="0" w:type="auto"/>
                  <w:tcBorders>
                    <w:top w:val="single" w:sz="6" w:space="0" w:color="5B9BD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473.95</w:t>
                  </w:r>
                </w:p>
              </w:tc>
              <w:tc>
                <w:tcPr>
                  <w:tcW w:w="0" w:type="auto"/>
                  <w:tcBorders>
                    <w:top w:val="single" w:sz="6" w:space="0" w:color="5B9BD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$18,958.05</w:t>
                  </w:r>
                </w:p>
              </w:tc>
            </w:tr>
            <w:tr w:rsidR="00334476" w:rsidRPr="00334476" w:rsidTr="00334476">
              <w:trPr>
                <w:trHeight w:val="265"/>
                <w:jc w:val="center"/>
              </w:trPr>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Lead Project Engineer</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$120.00/hr</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7,389.95</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$886,794.15</w:t>
                  </w:r>
                </w:p>
              </w:tc>
            </w:tr>
            <w:tr w:rsidR="00334476" w:rsidRPr="00334476" w:rsidTr="00334476">
              <w:trPr>
                <w:trHeight w:val="265"/>
                <w:jc w:val="center"/>
              </w:trPr>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Administration assistant</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$40.00/hr</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560.00</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$22,400.00</w:t>
                  </w:r>
                </w:p>
              </w:tc>
            </w:tr>
            <w:tr w:rsidR="00334476" w:rsidRPr="00334476" w:rsidTr="00334476">
              <w:trPr>
                <w:trHeight w:val="237"/>
                <w:jc w:val="center"/>
              </w:trPr>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Project Engineer</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$80.00/hr</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8,009.83</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$640,787.20</w:t>
                  </w:r>
                </w:p>
              </w:tc>
            </w:tr>
            <w:tr w:rsidR="00334476" w:rsidRPr="00334476" w:rsidTr="00334476">
              <w:trPr>
                <w:trHeight w:val="237"/>
                <w:jc w:val="center"/>
              </w:trPr>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Methanex General Employee</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$120.00/hr</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112.00</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$13,440.00</w:t>
                  </w:r>
                </w:p>
              </w:tc>
            </w:tr>
            <w:tr w:rsidR="00334476" w:rsidRPr="00334476" w:rsidTr="00334476">
              <w:trPr>
                <w:trHeight w:val="265"/>
                <w:jc w:val="center"/>
              </w:trPr>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Economic Analysis</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$65.00/hr</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3,624.00</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$235,560.00</w:t>
                  </w:r>
                </w:p>
              </w:tc>
            </w:tr>
            <w:tr w:rsidR="00334476" w:rsidRPr="00334476" w:rsidTr="00334476">
              <w:trPr>
                <w:trHeight w:val="237"/>
                <w:jc w:val="center"/>
              </w:trPr>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Economic Analysis 2</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$65.00/hr</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3,680.00</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$239,200.00</w:t>
                  </w:r>
                </w:p>
              </w:tc>
            </w:tr>
            <w:tr w:rsidR="00334476" w:rsidRPr="00334476" w:rsidTr="00334476">
              <w:trPr>
                <w:trHeight w:val="237"/>
                <w:jc w:val="center"/>
              </w:trPr>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Human resource manager</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$60.00/hr</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519.81</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$16,308.86</w:t>
                  </w:r>
                </w:p>
              </w:tc>
            </w:tr>
            <w:tr w:rsidR="00334476" w:rsidRPr="00334476" w:rsidTr="00334476">
              <w:trPr>
                <w:trHeight w:val="237"/>
                <w:jc w:val="center"/>
              </w:trPr>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Methanol specialist</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$120.00/hr</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504.55</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$60,545.59</w:t>
                  </w:r>
                </w:p>
              </w:tc>
            </w:tr>
            <w:tr w:rsidR="00334476" w:rsidRPr="00334476" w:rsidTr="00334476">
              <w:trPr>
                <w:trHeight w:val="237"/>
                <w:jc w:val="center"/>
              </w:trPr>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PR Manager</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$70.00/hr</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14,424.27</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$1,009,138.99</w:t>
                  </w:r>
                </w:p>
              </w:tc>
            </w:tr>
            <w:tr w:rsidR="00334476" w:rsidRPr="00334476" w:rsidTr="00334476">
              <w:trPr>
                <w:trHeight w:val="55"/>
                <w:jc w:val="center"/>
              </w:trPr>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PR Manager 2</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$70.00/hr</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17,264.00</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$1,207,920.00</w:t>
                  </w:r>
                </w:p>
              </w:tc>
            </w:tr>
            <w:tr w:rsidR="00334476" w:rsidRPr="00334476" w:rsidTr="00334476">
              <w:trPr>
                <w:trHeight w:val="237"/>
                <w:jc w:val="center"/>
              </w:trPr>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Lawyer</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$200.00/hr</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1,439.45</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$287,888.00</w:t>
                  </w:r>
                </w:p>
              </w:tc>
            </w:tr>
            <w:tr w:rsidR="00334476" w:rsidRPr="00334476" w:rsidTr="00334476">
              <w:trPr>
                <w:trHeight w:val="237"/>
                <w:jc w:val="center"/>
              </w:trPr>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Marketing Manager</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$60.00/hr</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13,404.00</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$803,760.00</w:t>
                  </w:r>
                </w:p>
              </w:tc>
            </w:tr>
            <w:tr w:rsidR="00334476" w:rsidRPr="00334476" w:rsidTr="00334476">
              <w:trPr>
                <w:trHeight w:val="55"/>
                <w:jc w:val="center"/>
              </w:trPr>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Marketing Manager 2</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$60.00/hr</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17,264.00</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$1,035,360.00</w:t>
                  </w:r>
                </w:p>
              </w:tc>
            </w:tr>
            <w:tr w:rsidR="00334476" w:rsidRPr="00334476" w:rsidTr="00334476">
              <w:trPr>
                <w:trHeight w:val="237"/>
                <w:jc w:val="center"/>
              </w:trPr>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 xml:space="preserve">Contractors </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$80.00/hr</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168.00</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$13,440.00</w:t>
                  </w:r>
                </w:p>
              </w:tc>
            </w:tr>
            <w:tr w:rsidR="00334476" w:rsidRPr="00334476" w:rsidTr="00334476">
              <w:trPr>
                <w:trHeight w:val="265"/>
                <w:jc w:val="center"/>
              </w:trPr>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Civil Engineering team</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$500.00/hr</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776.00</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$388,000.00</w:t>
                  </w:r>
                </w:p>
              </w:tc>
            </w:tr>
            <w:tr w:rsidR="00334476" w:rsidRPr="00334476" w:rsidTr="00334476">
              <w:trPr>
                <w:trHeight w:val="265"/>
                <w:jc w:val="center"/>
              </w:trPr>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Head Civil Engineer</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$150.00/hr</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608.00</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$91,200.00</w:t>
                  </w:r>
                </w:p>
              </w:tc>
            </w:tr>
            <w:tr w:rsidR="00334476" w:rsidRPr="00334476" w:rsidTr="00334476">
              <w:trPr>
                <w:trHeight w:val="237"/>
                <w:jc w:val="center"/>
              </w:trPr>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Chemical Engineering team</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$500.00/hr</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7,352.00</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$3,676,000.00</w:t>
                  </w:r>
                </w:p>
              </w:tc>
            </w:tr>
            <w:tr w:rsidR="00334476" w:rsidRPr="00334476" w:rsidTr="00334476">
              <w:trPr>
                <w:trHeight w:val="265"/>
                <w:jc w:val="center"/>
              </w:trPr>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Head Chemical Engineer</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$150.00/hr</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6,064.00</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$909,600.00</w:t>
                  </w:r>
                </w:p>
              </w:tc>
            </w:tr>
            <w:tr w:rsidR="00334476" w:rsidRPr="00334476" w:rsidTr="00334476">
              <w:trPr>
                <w:trHeight w:val="222"/>
                <w:jc w:val="center"/>
              </w:trPr>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Mechanical Engineering team</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$500.00/hr</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168.00</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$84,000.00</w:t>
                  </w:r>
                </w:p>
              </w:tc>
            </w:tr>
            <w:tr w:rsidR="00334476" w:rsidRPr="00334476" w:rsidTr="00334476">
              <w:trPr>
                <w:trHeight w:val="237"/>
                <w:jc w:val="center"/>
              </w:trPr>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Head Mechanical Engineer</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$150.00/hr</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224.00</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$33,600.00</w:t>
                  </w:r>
                </w:p>
              </w:tc>
            </w:tr>
            <w:tr w:rsidR="00334476" w:rsidRPr="00334476" w:rsidTr="00334476">
              <w:trPr>
                <w:trHeight w:val="390"/>
                <w:jc w:val="center"/>
              </w:trPr>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Workshop technician</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$100.00/hr</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728.00</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$72,800.00</w:t>
                  </w:r>
                </w:p>
              </w:tc>
            </w:tr>
            <w:tr w:rsidR="00334476" w:rsidRPr="00334476" w:rsidTr="00334476">
              <w:trPr>
                <w:trHeight w:val="390"/>
                <w:jc w:val="center"/>
              </w:trPr>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lang w:eastAsia="en-NZ"/>
                    </w:rPr>
                    <w:t>R&amp;D Engineer</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$120.00/hr</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center"/>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lang w:eastAsia="en-NZ"/>
                    </w:rPr>
                    <w:t>8,448.00</w:t>
                  </w:r>
                </w:p>
              </w:tc>
              <w:tc>
                <w:tcPr>
                  <w:tcW w:w="0" w:type="auto"/>
                  <w:tcBorders>
                    <w:top w:val="single" w:sz="6" w:space="0" w:color="9CC3E5"/>
                    <w:left w:val="single" w:sz="6" w:space="0" w:color="9CC3E5"/>
                    <w:bottom w:val="single" w:sz="6" w:space="0" w:color="9CC3E5"/>
                    <w:right w:val="single" w:sz="6" w:space="0" w:color="9CC3E5"/>
                  </w:tcBorders>
                  <w:shd w:val="clear" w:color="auto" w:fill="DEEBF6"/>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color w:val="000000"/>
                      <w:sz w:val="24"/>
                      <w:szCs w:val="24"/>
                      <w:lang w:eastAsia="en-NZ"/>
                    </w:rPr>
                    <w:t>$1</w:t>
                  </w:r>
                  <w:r w:rsidRPr="00334476">
                    <w:rPr>
                      <w:rFonts w:ascii="Calibri" w:eastAsia="Times New Roman" w:hAnsi="Calibri" w:cs="Times New Roman"/>
                      <w:i/>
                      <w:iCs/>
                      <w:color w:val="000000"/>
                      <w:sz w:val="24"/>
                      <w:szCs w:val="24"/>
                      <w:lang w:eastAsia="en-NZ"/>
                    </w:rPr>
                    <w:t>,</w:t>
                  </w:r>
                  <w:r w:rsidRPr="00334476">
                    <w:rPr>
                      <w:rFonts w:ascii="Calibri" w:eastAsia="Times New Roman" w:hAnsi="Calibri" w:cs="Times New Roman"/>
                      <w:color w:val="000000"/>
                      <w:sz w:val="24"/>
                      <w:szCs w:val="24"/>
                      <w:lang w:eastAsia="en-NZ"/>
                    </w:rPr>
                    <w:t>013,760.00</w:t>
                  </w:r>
                </w:p>
              </w:tc>
            </w:tr>
            <w:tr w:rsidR="00334476" w:rsidRPr="00334476" w:rsidTr="00334476">
              <w:trPr>
                <w:trHeight w:val="278"/>
                <w:jc w:val="center"/>
              </w:trPr>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u w:val="single"/>
                      <w:lang w:eastAsia="en-NZ"/>
                    </w:rPr>
                    <w:t>Total</w:t>
                  </w: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rPr>
                      <w:rFonts w:ascii="Times New Roman" w:eastAsia="Times New Roman" w:hAnsi="Times New Roman" w:cs="Times New Roman"/>
                      <w:sz w:val="24"/>
                      <w:szCs w:val="24"/>
                      <w:lang w:eastAsia="en-NZ"/>
                    </w:rPr>
                  </w:pPr>
                </w:p>
              </w:tc>
              <w:tc>
                <w:tcPr>
                  <w:tcW w:w="0" w:type="auto"/>
                  <w:tcBorders>
                    <w:top w:val="single" w:sz="6" w:space="0" w:color="9CC3E5"/>
                    <w:left w:val="single" w:sz="6" w:space="0" w:color="9CC3E5"/>
                    <w:bottom w:val="single" w:sz="6" w:space="0" w:color="9CC3E5"/>
                    <w:right w:val="single" w:sz="6" w:space="0" w:color="9CC3E5"/>
                  </w:tcBorders>
                  <w:tcMar>
                    <w:top w:w="0" w:type="dxa"/>
                    <w:left w:w="120" w:type="dxa"/>
                    <w:bottom w:w="0" w:type="dxa"/>
                    <w:right w:w="120" w:type="dxa"/>
                  </w:tcMar>
                  <w:hideMark/>
                </w:tcPr>
                <w:p w:rsidR="00334476" w:rsidRPr="00334476" w:rsidRDefault="00334476" w:rsidP="00334476">
                  <w:pPr>
                    <w:spacing w:after="0" w:line="240" w:lineRule="auto"/>
                    <w:jc w:val="right"/>
                    <w:rPr>
                      <w:rFonts w:ascii="Times New Roman" w:eastAsia="Times New Roman" w:hAnsi="Times New Roman" w:cs="Times New Roman"/>
                      <w:sz w:val="24"/>
                      <w:szCs w:val="24"/>
                      <w:lang w:eastAsia="en-NZ"/>
                    </w:rPr>
                  </w:pPr>
                  <w:r w:rsidRPr="00334476">
                    <w:rPr>
                      <w:rFonts w:ascii="Calibri" w:eastAsia="Times New Roman" w:hAnsi="Calibri" w:cs="Times New Roman"/>
                      <w:b/>
                      <w:bCs/>
                      <w:color w:val="000000"/>
                      <w:sz w:val="24"/>
                      <w:szCs w:val="24"/>
                      <w:u w:val="single"/>
                      <w:lang w:eastAsia="en-NZ"/>
                    </w:rPr>
                    <w:t>$12,760,460.84</w:t>
                  </w:r>
                </w:p>
                <w:p w:rsidR="00334476" w:rsidRPr="00334476" w:rsidRDefault="00334476" w:rsidP="00334476">
                  <w:pPr>
                    <w:spacing w:after="0" w:line="240" w:lineRule="auto"/>
                    <w:rPr>
                      <w:rFonts w:ascii="Times New Roman" w:eastAsia="Times New Roman" w:hAnsi="Times New Roman" w:cs="Times New Roman"/>
                      <w:sz w:val="24"/>
                      <w:szCs w:val="24"/>
                      <w:lang w:eastAsia="en-NZ"/>
                    </w:rPr>
                  </w:pPr>
                </w:p>
              </w:tc>
            </w:tr>
          </w:tbl>
          <w:p w:rsidR="00015EDA" w:rsidRPr="000E0244" w:rsidRDefault="00015EDA" w:rsidP="00015EDA">
            <w:pPr>
              <w:rPr>
                <w:rFonts w:ascii="Segoe UI" w:eastAsia="Times New Roman" w:hAnsi="Segoe UI" w:cs="Segoe UI"/>
                <w:color w:val="363636"/>
                <w:szCs w:val="18"/>
                <w:lang w:eastAsia="en-NZ"/>
              </w:rPr>
            </w:pPr>
          </w:p>
        </w:tc>
        <w:tc>
          <w:tcPr>
            <w:tcW w:w="273" w:type="dxa"/>
          </w:tcPr>
          <w:p w:rsidR="00015EDA" w:rsidRPr="000E0244" w:rsidRDefault="00015EDA" w:rsidP="00015EDA">
            <w:pPr>
              <w:jc w:val="center"/>
              <w:rPr>
                <w:rFonts w:ascii="Segoe UI" w:eastAsia="Times New Roman" w:hAnsi="Segoe UI" w:cs="Segoe UI"/>
                <w:color w:val="363636"/>
                <w:szCs w:val="18"/>
                <w:lang w:eastAsia="en-NZ"/>
              </w:rPr>
            </w:pPr>
          </w:p>
        </w:tc>
        <w:tc>
          <w:tcPr>
            <w:tcW w:w="282" w:type="dxa"/>
          </w:tcPr>
          <w:p w:rsidR="00015EDA" w:rsidRPr="000E0244" w:rsidRDefault="00015EDA" w:rsidP="00015EDA">
            <w:pPr>
              <w:jc w:val="center"/>
              <w:rPr>
                <w:rFonts w:ascii="Segoe UI" w:eastAsia="Times New Roman" w:hAnsi="Segoe UI" w:cs="Segoe UI"/>
                <w:color w:val="363636"/>
                <w:szCs w:val="18"/>
                <w:lang w:eastAsia="en-NZ"/>
              </w:rPr>
            </w:pPr>
          </w:p>
        </w:tc>
        <w:tc>
          <w:tcPr>
            <w:tcW w:w="2260" w:type="dxa"/>
          </w:tcPr>
          <w:p w:rsidR="00015EDA" w:rsidRPr="000E0244" w:rsidRDefault="00015EDA" w:rsidP="00015EDA">
            <w:pPr>
              <w:jc w:val="center"/>
              <w:rPr>
                <w:rFonts w:ascii="Segoe UI" w:eastAsia="Times New Roman" w:hAnsi="Segoe UI" w:cs="Segoe UI"/>
                <w:color w:val="363636"/>
                <w:szCs w:val="18"/>
                <w:lang w:eastAsia="en-NZ"/>
              </w:rPr>
            </w:pPr>
          </w:p>
        </w:tc>
      </w:tr>
      <w:tr w:rsidR="00015EDA" w:rsidRPr="000E0244" w:rsidTr="00334476">
        <w:trPr>
          <w:trHeight w:val="279"/>
        </w:trPr>
        <w:tc>
          <w:tcPr>
            <w:tcW w:w="6201" w:type="dxa"/>
          </w:tcPr>
          <w:p w:rsidR="00015EDA" w:rsidRPr="000E0244" w:rsidRDefault="00015EDA" w:rsidP="00015EDA">
            <w:pPr>
              <w:rPr>
                <w:rFonts w:ascii="Calibri" w:eastAsia="Times New Roman" w:hAnsi="Calibri" w:cs="Times New Roman"/>
                <w:color w:val="000000"/>
                <w:lang w:eastAsia="en-NZ"/>
              </w:rPr>
            </w:pPr>
          </w:p>
        </w:tc>
        <w:tc>
          <w:tcPr>
            <w:tcW w:w="273" w:type="dxa"/>
          </w:tcPr>
          <w:p w:rsidR="00015EDA" w:rsidRPr="000E0244" w:rsidRDefault="00015EDA" w:rsidP="00015EDA">
            <w:pPr>
              <w:jc w:val="center"/>
              <w:rPr>
                <w:rFonts w:ascii="Calibri" w:eastAsia="Times New Roman" w:hAnsi="Calibri" w:cs="Times New Roman"/>
                <w:color w:val="000000"/>
                <w:lang w:eastAsia="en-NZ"/>
              </w:rPr>
            </w:pPr>
          </w:p>
        </w:tc>
        <w:tc>
          <w:tcPr>
            <w:tcW w:w="282" w:type="dxa"/>
          </w:tcPr>
          <w:p w:rsidR="00015EDA" w:rsidRPr="000E0244" w:rsidRDefault="00015EDA" w:rsidP="00015EDA">
            <w:pPr>
              <w:jc w:val="center"/>
              <w:rPr>
                <w:rFonts w:ascii="Calibri" w:hAnsi="Calibri"/>
                <w:color w:val="000000"/>
              </w:rPr>
            </w:pPr>
          </w:p>
        </w:tc>
        <w:tc>
          <w:tcPr>
            <w:tcW w:w="2260" w:type="dxa"/>
          </w:tcPr>
          <w:p w:rsidR="00015EDA" w:rsidRPr="000E0244" w:rsidRDefault="00015EDA" w:rsidP="00015EDA">
            <w:pPr>
              <w:jc w:val="right"/>
              <w:rPr>
                <w:rFonts w:ascii="Calibri" w:eastAsia="Times New Roman" w:hAnsi="Calibri" w:cs="Times New Roman"/>
                <w:color w:val="000000"/>
                <w:lang w:eastAsia="en-NZ"/>
              </w:rPr>
            </w:pPr>
          </w:p>
        </w:tc>
      </w:tr>
    </w:tbl>
    <w:p w:rsidR="00015EDA" w:rsidRDefault="00015EDA" w:rsidP="00015EDA">
      <w:pPr>
        <w:pStyle w:val="Heading1"/>
      </w:pPr>
      <w:bookmarkStart w:id="36" w:name="_Toc463540087"/>
      <w:r>
        <w:t>10. Communication Plan</w:t>
      </w:r>
      <w:bookmarkEnd w:id="36"/>
    </w:p>
    <w:p w:rsidR="00015EDA" w:rsidRDefault="00015EDA" w:rsidP="00015EDA">
      <w:pPr>
        <w:pStyle w:val="Heading2"/>
        <w:ind w:firstLine="720"/>
      </w:pPr>
      <w:bookmarkStart w:id="37" w:name="_Toc463540088"/>
      <w:r>
        <w:t>Identify stakeholders and grants</w:t>
      </w:r>
      <w:bookmarkEnd w:id="37"/>
    </w:p>
    <w:p w:rsidR="00015EDA" w:rsidRDefault="00015EDA" w:rsidP="00015EDA">
      <w:r>
        <w:t>New Zealand based organisations with expertise in biogas and methanol production actively engaged in these industries are listed below.</w:t>
      </w:r>
    </w:p>
    <w:tbl>
      <w:tblPr>
        <w:tblStyle w:val="TableGrid"/>
        <w:tblW w:w="0" w:type="auto"/>
        <w:tblLook w:val="04A0" w:firstRow="1" w:lastRow="0" w:firstColumn="1" w:lastColumn="0" w:noHBand="0" w:noVBand="1"/>
      </w:tblPr>
      <w:tblGrid>
        <w:gridCol w:w="4508"/>
        <w:gridCol w:w="4508"/>
      </w:tblGrid>
      <w:tr w:rsidR="00015EDA" w:rsidTr="00015EDA">
        <w:tc>
          <w:tcPr>
            <w:tcW w:w="4508" w:type="dxa"/>
          </w:tcPr>
          <w:p w:rsidR="00015EDA" w:rsidRPr="00E53075" w:rsidRDefault="00015EDA" w:rsidP="00015EDA">
            <w:pPr>
              <w:rPr>
                <w:b/>
              </w:rPr>
            </w:pPr>
            <w:r w:rsidRPr="00E53075">
              <w:rPr>
                <w:b/>
              </w:rPr>
              <w:lastRenderedPageBreak/>
              <w:t>Suppliers</w:t>
            </w:r>
          </w:p>
        </w:tc>
        <w:tc>
          <w:tcPr>
            <w:tcW w:w="4508" w:type="dxa"/>
          </w:tcPr>
          <w:p w:rsidR="00015EDA" w:rsidRDefault="00015EDA" w:rsidP="00015EDA"/>
        </w:tc>
      </w:tr>
      <w:tr w:rsidR="00015EDA" w:rsidTr="00015EDA">
        <w:tc>
          <w:tcPr>
            <w:tcW w:w="4508" w:type="dxa"/>
          </w:tcPr>
          <w:p w:rsidR="00015EDA" w:rsidRDefault="00015EDA" w:rsidP="00015EDA">
            <w:r>
              <w:t>AECOM</w:t>
            </w:r>
          </w:p>
        </w:tc>
        <w:tc>
          <w:tcPr>
            <w:tcW w:w="4508" w:type="dxa"/>
          </w:tcPr>
          <w:p w:rsidR="00015EDA" w:rsidRDefault="00015EDA" w:rsidP="00015EDA">
            <w:r>
              <w:t>Consulting engineers: civil, energy, environmental planning and industrial design</w:t>
            </w:r>
          </w:p>
        </w:tc>
      </w:tr>
      <w:tr w:rsidR="00015EDA" w:rsidTr="00015EDA">
        <w:tc>
          <w:tcPr>
            <w:tcW w:w="4508" w:type="dxa"/>
          </w:tcPr>
          <w:p w:rsidR="00015EDA" w:rsidRDefault="00015EDA" w:rsidP="00015EDA">
            <w:r>
              <w:t>University of Canterbury</w:t>
            </w:r>
          </w:p>
        </w:tc>
        <w:tc>
          <w:tcPr>
            <w:tcW w:w="4508" w:type="dxa"/>
          </w:tcPr>
          <w:p w:rsidR="00015EDA" w:rsidRDefault="00015EDA" w:rsidP="00015EDA">
            <w:r>
              <w:t>Research and consulting</w:t>
            </w:r>
          </w:p>
        </w:tc>
      </w:tr>
      <w:tr w:rsidR="00015EDA" w:rsidTr="00015EDA">
        <w:tc>
          <w:tcPr>
            <w:tcW w:w="4508" w:type="dxa"/>
          </w:tcPr>
          <w:p w:rsidR="00015EDA" w:rsidRDefault="00015EDA" w:rsidP="00015EDA">
            <w:proofErr w:type="spellStart"/>
            <w:r>
              <w:t>Bioform</w:t>
            </w:r>
            <w:proofErr w:type="spellEnd"/>
          </w:p>
        </w:tc>
        <w:tc>
          <w:tcPr>
            <w:tcW w:w="4508" w:type="dxa"/>
          </w:tcPr>
          <w:p w:rsidR="00015EDA" w:rsidRDefault="00015EDA" w:rsidP="00015EDA">
            <w:r>
              <w:t>Consulting: agro-business</w:t>
            </w:r>
          </w:p>
        </w:tc>
      </w:tr>
      <w:tr w:rsidR="00015EDA" w:rsidTr="00015EDA">
        <w:tc>
          <w:tcPr>
            <w:tcW w:w="4508" w:type="dxa"/>
          </w:tcPr>
          <w:p w:rsidR="00015EDA" w:rsidRDefault="00015EDA" w:rsidP="00015EDA">
            <w:r>
              <w:t>BECA</w:t>
            </w:r>
          </w:p>
        </w:tc>
        <w:tc>
          <w:tcPr>
            <w:tcW w:w="4508" w:type="dxa"/>
          </w:tcPr>
          <w:p w:rsidR="00015EDA" w:rsidRDefault="00015EDA" w:rsidP="00015EDA">
            <w:r>
              <w:t>Consulting Engineers: civil, wastewater, mechanical, environmental planning and industrial design</w:t>
            </w:r>
          </w:p>
        </w:tc>
      </w:tr>
      <w:tr w:rsidR="00015EDA" w:rsidTr="00015EDA">
        <w:tc>
          <w:tcPr>
            <w:tcW w:w="4508" w:type="dxa"/>
          </w:tcPr>
          <w:p w:rsidR="00015EDA" w:rsidRDefault="00015EDA" w:rsidP="00015EDA">
            <w:proofErr w:type="spellStart"/>
            <w:r>
              <w:t>Eastharbour</w:t>
            </w:r>
            <w:proofErr w:type="spellEnd"/>
          </w:p>
        </w:tc>
        <w:tc>
          <w:tcPr>
            <w:tcW w:w="4508" w:type="dxa"/>
          </w:tcPr>
          <w:p w:rsidR="00015EDA" w:rsidRDefault="00015EDA" w:rsidP="00015EDA">
            <w:r>
              <w:t>Consulting Engineers: energy planning</w:t>
            </w:r>
          </w:p>
        </w:tc>
      </w:tr>
      <w:tr w:rsidR="00015EDA" w:rsidTr="00015EDA">
        <w:tc>
          <w:tcPr>
            <w:tcW w:w="4508" w:type="dxa"/>
          </w:tcPr>
          <w:p w:rsidR="00015EDA" w:rsidRDefault="00015EDA" w:rsidP="00015EDA">
            <w:r>
              <w:t>Greenlane/</w:t>
            </w:r>
            <w:proofErr w:type="spellStart"/>
            <w:r>
              <w:t>Flotech</w:t>
            </w:r>
            <w:proofErr w:type="spellEnd"/>
          </w:p>
        </w:tc>
        <w:tc>
          <w:tcPr>
            <w:tcW w:w="4508" w:type="dxa"/>
          </w:tcPr>
          <w:p w:rsidR="00015EDA" w:rsidRDefault="00015EDA" w:rsidP="00015EDA">
            <w:r>
              <w:t>Equipment Suppliers: biogas upgraders, compressors</w:t>
            </w:r>
          </w:p>
        </w:tc>
      </w:tr>
      <w:tr w:rsidR="00015EDA" w:rsidTr="00015EDA">
        <w:tc>
          <w:tcPr>
            <w:tcW w:w="4508" w:type="dxa"/>
          </w:tcPr>
          <w:p w:rsidR="00015EDA" w:rsidRDefault="00015EDA" w:rsidP="00015EDA">
            <w:r>
              <w:t>NIWA</w:t>
            </w:r>
          </w:p>
        </w:tc>
        <w:tc>
          <w:tcPr>
            <w:tcW w:w="4508" w:type="dxa"/>
          </w:tcPr>
          <w:p w:rsidR="00015EDA" w:rsidRDefault="00015EDA" w:rsidP="00015EDA">
            <w:r>
              <w:t>Research and consulting: small scale biogas systems for wastewater and farm waste treatment, advanced biogas utilisation, improved AD nutrient reuse</w:t>
            </w:r>
          </w:p>
        </w:tc>
      </w:tr>
      <w:tr w:rsidR="00015EDA" w:rsidTr="00015EDA">
        <w:tc>
          <w:tcPr>
            <w:tcW w:w="4508" w:type="dxa"/>
          </w:tcPr>
          <w:p w:rsidR="00015EDA" w:rsidRDefault="00015EDA" w:rsidP="00015EDA">
            <w:r>
              <w:t>PGG Wrightson</w:t>
            </w:r>
          </w:p>
        </w:tc>
        <w:tc>
          <w:tcPr>
            <w:tcW w:w="4508" w:type="dxa"/>
          </w:tcPr>
          <w:p w:rsidR="00015EDA" w:rsidRDefault="00015EDA" w:rsidP="00015EDA">
            <w:r>
              <w:t>Advisors and Suppliers: agro business</w:t>
            </w:r>
          </w:p>
        </w:tc>
      </w:tr>
      <w:tr w:rsidR="00015EDA" w:rsidTr="00015EDA">
        <w:tc>
          <w:tcPr>
            <w:tcW w:w="4508" w:type="dxa"/>
          </w:tcPr>
          <w:p w:rsidR="00015EDA" w:rsidRDefault="00015EDA" w:rsidP="00015EDA">
            <w:proofErr w:type="spellStart"/>
            <w:r>
              <w:t>Ravensdown</w:t>
            </w:r>
            <w:proofErr w:type="spellEnd"/>
          </w:p>
        </w:tc>
        <w:tc>
          <w:tcPr>
            <w:tcW w:w="4508" w:type="dxa"/>
          </w:tcPr>
          <w:p w:rsidR="00015EDA" w:rsidRDefault="00015EDA" w:rsidP="00015EDA">
            <w:r>
              <w:t>Fertiliser suppliers and agro advisory</w:t>
            </w:r>
          </w:p>
        </w:tc>
      </w:tr>
      <w:tr w:rsidR="00015EDA" w:rsidTr="00015EDA">
        <w:tc>
          <w:tcPr>
            <w:tcW w:w="4508" w:type="dxa"/>
          </w:tcPr>
          <w:p w:rsidR="00015EDA" w:rsidRDefault="00015EDA" w:rsidP="00015EDA">
            <w:r>
              <w:t>Methanex</w:t>
            </w:r>
          </w:p>
        </w:tc>
        <w:tc>
          <w:tcPr>
            <w:tcW w:w="4508" w:type="dxa"/>
          </w:tcPr>
          <w:p w:rsidR="00015EDA" w:rsidRDefault="00015EDA" w:rsidP="00015EDA">
            <w:r>
              <w:t>New Zealand’s only methanol production unit</w:t>
            </w:r>
          </w:p>
        </w:tc>
      </w:tr>
      <w:tr w:rsidR="00015EDA" w:rsidTr="00015EDA">
        <w:tc>
          <w:tcPr>
            <w:tcW w:w="4508" w:type="dxa"/>
          </w:tcPr>
          <w:p w:rsidR="00015EDA" w:rsidRDefault="00015EDA" w:rsidP="00015EDA"/>
        </w:tc>
        <w:tc>
          <w:tcPr>
            <w:tcW w:w="4508" w:type="dxa"/>
          </w:tcPr>
          <w:p w:rsidR="00015EDA" w:rsidRDefault="00015EDA" w:rsidP="00015EDA"/>
        </w:tc>
      </w:tr>
      <w:tr w:rsidR="00015EDA" w:rsidTr="00015EDA">
        <w:tc>
          <w:tcPr>
            <w:tcW w:w="4508" w:type="dxa"/>
          </w:tcPr>
          <w:p w:rsidR="00015EDA" w:rsidRPr="002157EA" w:rsidRDefault="00015EDA" w:rsidP="00015EDA">
            <w:pPr>
              <w:rPr>
                <w:b/>
              </w:rPr>
            </w:pPr>
            <w:r w:rsidRPr="002157EA">
              <w:rPr>
                <w:b/>
              </w:rPr>
              <w:t>Operators</w:t>
            </w:r>
          </w:p>
        </w:tc>
        <w:tc>
          <w:tcPr>
            <w:tcW w:w="4508" w:type="dxa"/>
          </w:tcPr>
          <w:p w:rsidR="00015EDA" w:rsidRDefault="00015EDA" w:rsidP="00015EDA"/>
        </w:tc>
      </w:tr>
      <w:tr w:rsidR="00015EDA" w:rsidTr="00015EDA">
        <w:tc>
          <w:tcPr>
            <w:tcW w:w="4508" w:type="dxa"/>
          </w:tcPr>
          <w:p w:rsidR="00015EDA" w:rsidRDefault="00015EDA" w:rsidP="00015EDA">
            <w:r>
              <w:t>Christchurch City Council</w:t>
            </w:r>
          </w:p>
        </w:tc>
        <w:tc>
          <w:tcPr>
            <w:tcW w:w="4508" w:type="dxa"/>
          </w:tcPr>
          <w:p w:rsidR="00015EDA" w:rsidRDefault="00015EDA" w:rsidP="00015EDA">
            <w:r>
              <w:t>Operators of landfills, wastewater treatment plants, co-digestion, solids drying, and biogas transfer network. New Zealand’s first biogas tri-generation plant</w:t>
            </w:r>
          </w:p>
        </w:tc>
      </w:tr>
      <w:tr w:rsidR="00015EDA" w:rsidTr="00015EDA">
        <w:tc>
          <w:tcPr>
            <w:tcW w:w="4508" w:type="dxa"/>
          </w:tcPr>
          <w:p w:rsidR="00015EDA" w:rsidRDefault="00015EDA" w:rsidP="00015EDA">
            <w:r>
              <w:t>Dunedin City Council</w:t>
            </w:r>
          </w:p>
        </w:tc>
        <w:tc>
          <w:tcPr>
            <w:tcW w:w="4508" w:type="dxa"/>
          </w:tcPr>
          <w:p w:rsidR="00015EDA" w:rsidRDefault="00015EDA" w:rsidP="00015EDA">
            <w:r>
              <w:t>Operators of digesters and landfills</w:t>
            </w:r>
          </w:p>
        </w:tc>
      </w:tr>
      <w:tr w:rsidR="00015EDA" w:rsidTr="00015EDA">
        <w:tc>
          <w:tcPr>
            <w:tcW w:w="4508" w:type="dxa"/>
          </w:tcPr>
          <w:p w:rsidR="00015EDA" w:rsidRDefault="00015EDA" w:rsidP="00015EDA">
            <w:r>
              <w:t>Fonterra</w:t>
            </w:r>
          </w:p>
        </w:tc>
        <w:tc>
          <w:tcPr>
            <w:tcW w:w="4508" w:type="dxa"/>
          </w:tcPr>
          <w:p w:rsidR="00015EDA" w:rsidRDefault="00015EDA" w:rsidP="00015EDA">
            <w:r>
              <w:t>New Zealand’s largest dairy cooperative</w:t>
            </w:r>
          </w:p>
          <w:p w:rsidR="00015EDA" w:rsidRDefault="00015EDA" w:rsidP="00015EDA">
            <w:r>
              <w:t>Operators: wastewater digester and boilers</w:t>
            </w:r>
          </w:p>
        </w:tc>
      </w:tr>
      <w:tr w:rsidR="00015EDA" w:rsidTr="00015EDA">
        <w:tc>
          <w:tcPr>
            <w:tcW w:w="4508" w:type="dxa"/>
          </w:tcPr>
          <w:p w:rsidR="00015EDA" w:rsidRDefault="00015EDA" w:rsidP="00015EDA">
            <w:r>
              <w:t>Hamilton City Council</w:t>
            </w:r>
          </w:p>
        </w:tc>
        <w:tc>
          <w:tcPr>
            <w:tcW w:w="4508" w:type="dxa"/>
          </w:tcPr>
          <w:p w:rsidR="00015EDA" w:rsidRDefault="00015EDA" w:rsidP="00015EDA">
            <w:r>
              <w:t>Operators of digesters</w:t>
            </w:r>
          </w:p>
        </w:tc>
      </w:tr>
      <w:tr w:rsidR="00015EDA" w:rsidTr="00015EDA">
        <w:tc>
          <w:tcPr>
            <w:tcW w:w="4508" w:type="dxa"/>
          </w:tcPr>
          <w:p w:rsidR="00015EDA" w:rsidRDefault="00015EDA" w:rsidP="00015EDA">
            <w:r>
              <w:t>Palmerston City Council</w:t>
            </w:r>
          </w:p>
        </w:tc>
        <w:tc>
          <w:tcPr>
            <w:tcW w:w="4508" w:type="dxa"/>
          </w:tcPr>
          <w:p w:rsidR="00015EDA" w:rsidRDefault="00015EDA" w:rsidP="00015EDA">
            <w:r>
              <w:t>Operators of digesters and co-digesters</w:t>
            </w:r>
          </w:p>
        </w:tc>
      </w:tr>
      <w:tr w:rsidR="00015EDA" w:rsidTr="00015EDA">
        <w:tc>
          <w:tcPr>
            <w:tcW w:w="4508" w:type="dxa"/>
          </w:tcPr>
          <w:p w:rsidR="00015EDA" w:rsidRDefault="00015EDA" w:rsidP="00015EDA">
            <w:r>
              <w:t>Transpacific Industries (NZ)</w:t>
            </w:r>
          </w:p>
        </w:tc>
        <w:tc>
          <w:tcPr>
            <w:tcW w:w="4508" w:type="dxa"/>
          </w:tcPr>
          <w:p w:rsidR="00015EDA" w:rsidRDefault="00015EDA" w:rsidP="00015EDA">
            <w:r>
              <w:t>Operators of landfills</w:t>
            </w:r>
          </w:p>
          <w:p w:rsidR="00015EDA" w:rsidRDefault="00015EDA" w:rsidP="00015EDA">
            <w:r>
              <w:t>Also hosting a pilot project – NZ’s first biogas powered rubbish truck</w:t>
            </w:r>
          </w:p>
        </w:tc>
      </w:tr>
      <w:tr w:rsidR="00015EDA" w:rsidTr="00015EDA">
        <w:tc>
          <w:tcPr>
            <w:tcW w:w="4508" w:type="dxa"/>
          </w:tcPr>
          <w:p w:rsidR="00015EDA" w:rsidRDefault="00015EDA" w:rsidP="00015EDA">
            <w:r>
              <w:t>Watercare Limited</w:t>
            </w:r>
          </w:p>
        </w:tc>
        <w:tc>
          <w:tcPr>
            <w:tcW w:w="4508" w:type="dxa"/>
          </w:tcPr>
          <w:p w:rsidR="00015EDA" w:rsidRDefault="00015EDA" w:rsidP="00015EDA">
            <w:r>
              <w:t>Operators of digesters</w:t>
            </w:r>
          </w:p>
        </w:tc>
      </w:tr>
      <w:tr w:rsidR="00015EDA" w:rsidTr="00015EDA">
        <w:tc>
          <w:tcPr>
            <w:tcW w:w="4508" w:type="dxa"/>
          </w:tcPr>
          <w:p w:rsidR="00015EDA" w:rsidRDefault="00015EDA" w:rsidP="00015EDA">
            <w:r>
              <w:t>Wellington City Council</w:t>
            </w:r>
          </w:p>
        </w:tc>
        <w:tc>
          <w:tcPr>
            <w:tcW w:w="4508" w:type="dxa"/>
          </w:tcPr>
          <w:p w:rsidR="00015EDA" w:rsidRDefault="00015EDA" w:rsidP="00015EDA">
            <w:r>
              <w:t>Operators of landfills and sludge treatment plants</w:t>
            </w:r>
          </w:p>
        </w:tc>
      </w:tr>
      <w:tr w:rsidR="00015EDA" w:rsidTr="00015EDA">
        <w:tc>
          <w:tcPr>
            <w:tcW w:w="4508" w:type="dxa"/>
          </w:tcPr>
          <w:p w:rsidR="00015EDA" w:rsidRDefault="00015EDA" w:rsidP="00015EDA">
            <w:proofErr w:type="spellStart"/>
            <w:r>
              <w:t>Landcorp</w:t>
            </w:r>
            <w:proofErr w:type="spellEnd"/>
            <w:r>
              <w:t xml:space="preserve"> Rangiora</w:t>
            </w:r>
          </w:p>
        </w:tc>
        <w:tc>
          <w:tcPr>
            <w:tcW w:w="4508" w:type="dxa"/>
          </w:tcPr>
          <w:p w:rsidR="00015EDA" w:rsidRDefault="00015EDA" w:rsidP="00015EDA">
            <w:r>
              <w:t>Biogas CHP system based on dairy cow manure digestion in heated mixed digesters</w:t>
            </w:r>
          </w:p>
        </w:tc>
      </w:tr>
      <w:tr w:rsidR="00015EDA" w:rsidTr="00015EDA">
        <w:tc>
          <w:tcPr>
            <w:tcW w:w="4508" w:type="dxa"/>
          </w:tcPr>
          <w:p w:rsidR="00015EDA" w:rsidRPr="00391B00" w:rsidRDefault="00015EDA" w:rsidP="00015EDA">
            <w:pPr>
              <w:rPr>
                <w:b/>
              </w:rPr>
            </w:pPr>
            <w:r w:rsidRPr="00391B00">
              <w:rPr>
                <w:b/>
              </w:rPr>
              <w:t>Gas</w:t>
            </w:r>
          </w:p>
        </w:tc>
        <w:tc>
          <w:tcPr>
            <w:tcW w:w="4508" w:type="dxa"/>
          </w:tcPr>
          <w:p w:rsidR="00015EDA" w:rsidRDefault="00015EDA" w:rsidP="00015EDA"/>
        </w:tc>
      </w:tr>
      <w:tr w:rsidR="00015EDA" w:rsidTr="00015EDA">
        <w:tc>
          <w:tcPr>
            <w:tcW w:w="4508" w:type="dxa"/>
          </w:tcPr>
          <w:p w:rsidR="00015EDA" w:rsidRDefault="00015EDA" w:rsidP="00015EDA">
            <w:r>
              <w:t>Contact energy</w:t>
            </w:r>
          </w:p>
        </w:tc>
        <w:tc>
          <w:tcPr>
            <w:tcW w:w="4508" w:type="dxa"/>
          </w:tcPr>
          <w:p w:rsidR="00015EDA" w:rsidRDefault="00015EDA" w:rsidP="00015EDA">
            <w:r>
              <w:t>Gas suppliers and distributers</w:t>
            </w:r>
          </w:p>
        </w:tc>
      </w:tr>
      <w:tr w:rsidR="00015EDA" w:rsidTr="00015EDA">
        <w:tc>
          <w:tcPr>
            <w:tcW w:w="4508" w:type="dxa"/>
          </w:tcPr>
          <w:p w:rsidR="00015EDA" w:rsidRDefault="00015EDA" w:rsidP="00015EDA">
            <w:r>
              <w:t>Genesis energy</w:t>
            </w:r>
          </w:p>
        </w:tc>
        <w:tc>
          <w:tcPr>
            <w:tcW w:w="4508" w:type="dxa"/>
          </w:tcPr>
          <w:p w:rsidR="00015EDA" w:rsidRDefault="00015EDA" w:rsidP="00015EDA">
            <w:r>
              <w:t>Gas suppliers and distributers</w:t>
            </w:r>
          </w:p>
        </w:tc>
      </w:tr>
      <w:tr w:rsidR="00015EDA" w:rsidTr="00015EDA">
        <w:tc>
          <w:tcPr>
            <w:tcW w:w="4508" w:type="dxa"/>
          </w:tcPr>
          <w:p w:rsidR="00015EDA" w:rsidRDefault="00015EDA" w:rsidP="00015EDA">
            <w:r>
              <w:t>Greymouth petroleum</w:t>
            </w:r>
          </w:p>
        </w:tc>
        <w:tc>
          <w:tcPr>
            <w:tcW w:w="4508" w:type="dxa"/>
          </w:tcPr>
          <w:p w:rsidR="00015EDA" w:rsidRDefault="00015EDA" w:rsidP="00015EDA">
            <w:r>
              <w:t>Gas suppliers and distributers</w:t>
            </w:r>
          </w:p>
        </w:tc>
      </w:tr>
      <w:tr w:rsidR="00015EDA" w:rsidTr="00015EDA">
        <w:tc>
          <w:tcPr>
            <w:tcW w:w="4508" w:type="dxa"/>
          </w:tcPr>
          <w:p w:rsidR="00015EDA" w:rsidRDefault="00015EDA" w:rsidP="00015EDA">
            <w:r>
              <w:t>Mercury energy</w:t>
            </w:r>
          </w:p>
        </w:tc>
        <w:tc>
          <w:tcPr>
            <w:tcW w:w="4508" w:type="dxa"/>
          </w:tcPr>
          <w:p w:rsidR="00015EDA" w:rsidRDefault="00015EDA" w:rsidP="00015EDA">
            <w:r>
              <w:t>Gas suppliers and distributers</w:t>
            </w:r>
          </w:p>
        </w:tc>
      </w:tr>
      <w:tr w:rsidR="00015EDA" w:rsidTr="00015EDA">
        <w:tc>
          <w:tcPr>
            <w:tcW w:w="4508" w:type="dxa"/>
          </w:tcPr>
          <w:p w:rsidR="00015EDA" w:rsidRDefault="00015EDA" w:rsidP="00015EDA">
            <w:proofErr w:type="spellStart"/>
            <w:r>
              <w:t>OnGas</w:t>
            </w:r>
            <w:proofErr w:type="spellEnd"/>
          </w:p>
        </w:tc>
        <w:tc>
          <w:tcPr>
            <w:tcW w:w="4508" w:type="dxa"/>
          </w:tcPr>
          <w:p w:rsidR="00015EDA" w:rsidRDefault="00015EDA" w:rsidP="00015EDA">
            <w:r>
              <w:t>Gas suppliers and distributers</w:t>
            </w:r>
          </w:p>
        </w:tc>
      </w:tr>
    </w:tbl>
    <w:p w:rsidR="00015EDA" w:rsidRPr="004E6111" w:rsidRDefault="006566FB" w:rsidP="00015EDA">
      <w:pPr>
        <w:rPr>
          <w:color w:val="0563C1" w:themeColor="hyperlink"/>
          <w:u w:val="single"/>
        </w:rPr>
      </w:pPr>
      <w:sdt>
        <w:sdtPr>
          <w:id w:val="-1526937001"/>
          <w:citation/>
        </w:sdtPr>
        <w:sdtEndPr/>
        <w:sdtContent>
          <w:r w:rsidR="00015EDA">
            <w:fldChar w:fldCharType="begin"/>
          </w:r>
          <w:r w:rsidR="00015EDA">
            <w:instrText xml:space="preserve"> CITATION BAN161 \l 5129 </w:instrText>
          </w:r>
          <w:r w:rsidR="00015EDA">
            <w:fldChar w:fldCharType="separate"/>
          </w:r>
          <w:r w:rsidR="006D26C9" w:rsidRPr="006D26C9">
            <w:rPr>
              <w:noProof/>
            </w:rPr>
            <w:t>[3]</w:t>
          </w:r>
          <w:r w:rsidR="00015EDA">
            <w:fldChar w:fldCharType="end"/>
          </w:r>
        </w:sdtContent>
      </w:sdt>
    </w:p>
    <w:p w:rsidR="00015EDA" w:rsidRDefault="00015EDA" w:rsidP="00015EDA">
      <w:pPr>
        <w:pStyle w:val="Heading1"/>
      </w:pPr>
      <w:r>
        <w:lastRenderedPageBreak/>
        <w:t>Appendices</w:t>
      </w:r>
    </w:p>
    <w:p w:rsidR="00015EDA" w:rsidRDefault="00015EDA" w:rsidP="00015EDA">
      <w:pPr>
        <w:pStyle w:val="Heading1"/>
      </w:pPr>
      <w:r>
        <w:t>1. Introduction</w:t>
      </w:r>
    </w:p>
    <w:p w:rsidR="00015EDA" w:rsidRDefault="00015EDA" w:rsidP="00015EDA">
      <w:pPr>
        <w:pStyle w:val="Heading2"/>
        <w:ind w:firstLine="720"/>
      </w:pPr>
      <w:r>
        <w:t>1.1 General</w:t>
      </w:r>
    </w:p>
    <w:p w:rsidR="00015EDA" w:rsidRDefault="00015EDA" w:rsidP="00015EDA">
      <w:pPr>
        <w:jc w:val="both"/>
      </w:pPr>
      <w:r>
        <w:t>The raw material used to produce biogas is called ‘feedstock’. The feedstock (e.g. manure) is collected and held in tanks or ponds, the gas produced is captured, and this is used either as fuel in its own right (to heat buildings or power vehicles), or to drive a generator that provides electricity. Systems for extracting and using biogas on farms have been used for decades in Europe and North America. A biogas system may be as simple as fitting a cover to ponds, or as sophisticated as a fully automated off</w:t>
      </w:r>
      <w:r w:rsidR="00334476">
        <w:t xml:space="preserve"> </w:t>
      </w:r>
      <w:r>
        <w:t>the-shelf system using tanks. A well-designed system offers other benefits: odour control, reduced contamination of groundwater and production of bio fertiliser.</w:t>
      </w:r>
    </w:p>
    <w:p w:rsidR="00015EDA" w:rsidRDefault="00015EDA" w:rsidP="00015EDA">
      <w:pPr>
        <w:jc w:val="both"/>
      </w:pPr>
      <w:r>
        <w:t>Manure from the farm’s 900 cows is collected on a concrete pad outside the milking sheds, and pumped into a tank digester. The gas produced is used to power a generator that provides around a third of the farm’s energy requirements. There are environmental benefits to the biogas system also. The digestate that comes out of the tank is very low in pathogens compared to raw manure, and is ready for use on paddocks as an effective bio fertiliser. This comes on top of the reduction in carbon emissions from using up methane in the biogas.</w:t>
      </w:r>
    </w:p>
    <w:p w:rsidR="00015EDA" w:rsidRDefault="00015EDA" w:rsidP="00015EDA">
      <w:pPr>
        <w:pStyle w:val="Heading2"/>
        <w:ind w:firstLine="720"/>
      </w:pPr>
      <w:r>
        <w:t>1.2 Environmental</w:t>
      </w:r>
    </w:p>
    <w:p w:rsidR="00015EDA" w:rsidRPr="004602B7" w:rsidRDefault="00015EDA" w:rsidP="00015EDA">
      <w:pPr>
        <w:jc w:val="both"/>
      </w:pPr>
      <w:r w:rsidRPr="004602B7">
        <w:t>Methane has 20 times more greenhouse gas effect than carbon dioxide. The process of burning biogas for electricity generation and/or heat or to power an internal combustion engine converts methane into carbon dioxide, so this significantly reduces total greenhouse gas emissions.</w:t>
      </w:r>
    </w:p>
    <w:p w:rsidR="00015EDA" w:rsidRPr="004602B7" w:rsidRDefault="00015EDA" w:rsidP="00722EC0">
      <w:pPr>
        <w:jc w:val="both"/>
      </w:pPr>
      <w:r w:rsidRPr="004602B7">
        <w:rPr>
          <w:rFonts w:cs="Arial"/>
          <w:sz w:val="23"/>
          <w:szCs w:val="23"/>
          <w:shd w:val="clear" w:color="auto" w:fill="FFFFFF"/>
        </w:rPr>
        <w:t>By extracting methane out of waste and using it to p</w:t>
      </w:r>
      <w:r>
        <w:rPr>
          <w:rFonts w:cs="Arial"/>
          <w:sz w:val="23"/>
          <w:szCs w:val="23"/>
          <w:shd w:val="clear" w:color="auto" w:fill="FFFFFF"/>
        </w:rPr>
        <w:t>roduce heat and/or electricity the company can</w:t>
      </w:r>
      <w:r w:rsidRPr="004602B7">
        <w:rPr>
          <w:rFonts w:cs="Arial"/>
          <w:sz w:val="23"/>
          <w:szCs w:val="23"/>
          <w:shd w:val="clear" w:color="auto" w:fill="FFFFFF"/>
        </w:rPr>
        <w:t xml:space="preserve"> ensure that the waste will not degrade in an open environment therefore reducing direct methane atmospheric emissions. Moreover, the energy provided by the biogas is likely to displace fossil fuel which is the main contributor to </w:t>
      </w:r>
      <w:r>
        <w:rPr>
          <w:rFonts w:cs="Arial"/>
          <w:sz w:val="23"/>
          <w:szCs w:val="23"/>
          <w:shd w:val="clear" w:color="auto" w:fill="FFFFFF"/>
        </w:rPr>
        <w:t>greenhouse gas</w:t>
      </w:r>
      <w:r w:rsidRPr="004602B7">
        <w:rPr>
          <w:rFonts w:cs="Arial"/>
          <w:sz w:val="23"/>
          <w:szCs w:val="23"/>
          <w:shd w:val="clear" w:color="auto" w:fill="FFFFFF"/>
        </w:rPr>
        <w:t xml:space="preserve"> emissions.</w:t>
      </w:r>
      <w:r w:rsidRPr="004602B7">
        <w:rPr>
          <w:rFonts w:cs="Arial"/>
          <w:sz w:val="23"/>
          <w:szCs w:val="23"/>
        </w:rPr>
        <w:br/>
      </w:r>
      <w:r w:rsidRPr="004602B7">
        <w:rPr>
          <w:rFonts w:cs="Arial"/>
          <w:sz w:val="23"/>
          <w:szCs w:val="23"/>
        </w:rPr>
        <w:br/>
      </w:r>
      <w:r w:rsidRPr="004602B7">
        <w:rPr>
          <w:rFonts w:cs="Arial"/>
          <w:sz w:val="23"/>
          <w:szCs w:val="23"/>
          <w:shd w:val="clear" w:color="auto" w:fill="FFFFFF"/>
        </w:rPr>
        <w:t>Biogas energy is considered carbon neutral, since carbon emitted by its combustion comes from carbon fixed by plants (natural carbon cycle).</w:t>
      </w:r>
    </w:p>
    <w:p w:rsidR="00015EDA" w:rsidRPr="0006172C" w:rsidRDefault="00015EDA" w:rsidP="00722EC0">
      <w:pPr>
        <w:jc w:val="both"/>
        <w:rPr>
          <w:rFonts w:cs="Arial"/>
          <w:sz w:val="23"/>
          <w:szCs w:val="23"/>
          <w:shd w:val="clear" w:color="auto" w:fill="FFFFFF"/>
        </w:rPr>
      </w:pPr>
      <w:r w:rsidRPr="004602B7">
        <w:rPr>
          <w:rFonts w:cs="Arial"/>
          <w:sz w:val="23"/>
          <w:szCs w:val="23"/>
          <w:shd w:val="clear" w:color="auto" w:fill="FFFFFF"/>
        </w:rPr>
        <w:t>Despite popular belief, the amount of waste going in the digester is almost equal to the amount coming out. However the quality of the waste is altered for the better (less odo</w:t>
      </w:r>
      <w:r>
        <w:rPr>
          <w:rFonts w:cs="Arial"/>
          <w:sz w:val="23"/>
          <w:szCs w:val="23"/>
          <w:shd w:val="clear" w:color="auto" w:fill="FFFFFF"/>
        </w:rPr>
        <w:t>u</w:t>
      </w:r>
      <w:r w:rsidRPr="004602B7">
        <w:rPr>
          <w:rFonts w:cs="Arial"/>
          <w:sz w:val="23"/>
          <w:szCs w:val="23"/>
          <w:shd w:val="clear" w:color="auto" w:fill="FFFFFF"/>
        </w:rPr>
        <w:t>r, better fertilizer, organic load reduced, less polluting)</w:t>
      </w:r>
      <w:r>
        <w:rPr>
          <w:rFonts w:cs="Arial"/>
          <w:sz w:val="23"/>
          <w:szCs w:val="23"/>
          <w:shd w:val="clear" w:color="auto" w:fill="FFFFFF"/>
        </w:rPr>
        <w:t>.</w:t>
      </w:r>
      <w:r w:rsidRPr="004602B7">
        <w:rPr>
          <w:rFonts w:cs="Arial"/>
          <w:sz w:val="23"/>
          <w:szCs w:val="23"/>
        </w:rPr>
        <w:br/>
      </w:r>
      <w:r w:rsidRPr="004602B7">
        <w:rPr>
          <w:rFonts w:cs="Arial"/>
          <w:sz w:val="23"/>
          <w:szCs w:val="23"/>
        </w:rPr>
        <w:br/>
      </w:r>
      <w:r w:rsidRPr="004602B7">
        <w:rPr>
          <w:rFonts w:cs="Arial"/>
          <w:sz w:val="23"/>
          <w:szCs w:val="23"/>
          <w:shd w:val="clear" w:color="auto" w:fill="FFFFFF"/>
        </w:rPr>
        <w:t>Waste coming out of the digester can be separated (solid/liquid):</w:t>
      </w:r>
      <w:r>
        <w:rPr>
          <w:rFonts w:cs="Arial"/>
          <w:sz w:val="23"/>
          <w:szCs w:val="23"/>
          <w:shd w:val="clear" w:color="auto" w:fill="FFFFFF"/>
        </w:rPr>
        <w:t xml:space="preserve"> </w:t>
      </w:r>
      <w:r w:rsidRPr="004602B7">
        <w:rPr>
          <w:rFonts w:cs="Arial"/>
          <w:sz w:val="23"/>
          <w:szCs w:val="23"/>
          <w:shd w:val="clear" w:color="auto" w:fill="FFFFFF"/>
        </w:rPr>
        <w:t>the solid part can be composted and the liquid part can be used as liquid fertilizer or can be treated further and disposed.</w:t>
      </w:r>
      <w:r w:rsidRPr="004602B7">
        <w:rPr>
          <w:rFonts w:cs="Arial"/>
          <w:sz w:val="23"/>
          <w:szCs w:val="23"/>
        </w:rPr>
        <w:br/>
      </w:r>
    </w:p>
    <w:p w:rsidR="00015EDA" w:rsidRPr="0067575F" w:rsidRDefault="00015EDA" w:rsidP="00015EDA">
      <w:pPr>
        <w:pStyle w:val="Heading1"/>
      </w:pPr>
      <w:r>
        <w:lastRenderedPageBreak/>
        <w:t>2. System Architecture</w:t>
      </w:r>
    </w:p>
    <w:p w:rsidR="00015EDA" w:rsidRDefault="00015EDA" w:rsidP="00015EDA">
      <w:pPr>
        <w:pStyle w:val="Heading2"/>
        <w:ind w:left="720"/>
      </w:pPr>
      <w:r>
        <w:t>2.1 Process of steam reformation</w:t>
      </w:r>
      <w:bookmarkStart w:id="38" w:name="_GoBack"/>
      <w:bookmarkEnd w:id="38"/>
      <w:r>
        <w:t xml:space="preserve"> of methane into methanol </w:t>
      </w:r>
      <w:sdt>
        <w:sdtPr>
          <w:id w:val="908662936"/>
          <w:citation/>
        </w:sdtPr>
        <w:sdtEndPr/>
        <w:sdtContent>
          <w:r>
            <w:fldChar w:fldCharType="begin"/>
          </w:r>
          <w:r>
            <w:instrText xml:space="preserve"> CITATION You16 \l 5129 </w:instrText>
          </w:r>
          <w:r>
            <w:fldChar w:fldCharType="separate"/>
          </w:r>
          <w:r w:rsidR="006D26C9" w:rsidRPr="006D26C9">
            <w:rPr>
              <w:noProof/>
            </w:rPr>
            <w:t>[4]</w:t>
          </w:r>
          <w:r>
            <w:fldChar w:fldCharType="end"/>
          </w:r>
        </w:sdtContent>
      </w:sdt>
    </w:p>
    <w:p w:rsidR="00015EDA" w:rsidRDefault="00015EDA" w:rsidP="00015EDA">
      <w:pPr>
        <w:jc w:val="center"/>
      </w:pPr>
      <w:r>
        <w:rPr>
          <w:noProof/>
          <w:lang w:eastAsia="en-NZ"/>
        </w:rPr>
        <w:drawing>
          <wp:inline distT="0" distB="0" distL="0" distR="0" wp14:anchorId="6B711E16" wp14:editId="6D9C1E7C">
            <wp:extent cx="5222056" cy="6800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627" t="12704" r="31899" b="5159"/>
                    <a:stretch/>
                  </pic:blipFill>
                  <pic:spPr bwMode="auto">
                    <a:xfrm>
                      <a:off x="0" y="0"/>
                      <a:ext cx="5273601" cy="6867979"/>
                    </a:xfrm>
                    <a:prstGeom prst="rect">
                      <a:avLst/>
                    </a:prstGeom>
                    <a:ln>
                      <a:noFill/>
                    </a:ln>
                    <a:extLst>
                      <a:ext uri="{53640926-AAD7-44D8-BBD7-CCE9431645EC}">
                        <a14:shadowObscured xmlns:a14="http://schemas.microsoft.com/office/drawing/2010/main"/>
                      </a:ext>
                    </a:extLst>
                  </pic:spPr>
                </pic:pic>
              </a:graphicData>
            </a:graphic>
          </wp:inline>
        </w:drawing>
      </w:r>
    </w:p>
    <w:p w:rsidR="00015EDA" w:rsidRDefault="00015EDA" w:rsidP="00015EDA">
      <w:pPr>
        <w:jc w:val="center"/>
      </w:pPr>
      <w:r>
        <w:rPr>
          <w:noProof/>
          <w:lang w:eastAsia="en-NZ"/>
        </w:rPr>
        <w:lastRenderedPageBreak/>
        <w:drawing>
          <wp:inline distT="0" distB="0" distL="0" distR="0" wp14:anchorId="194A7BDA" wp14:editId="597E16F6">
            <wp:extent cx="6026305" cy="7334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267" t="11858" r="55343" b="7241"/>
                    <a:stretch/>
                  </pic:blipFill>
                  <pic:spPr bwMode="auto">
                    <a:xfrm>
                      <a:off x="0" y="0"/>
                      <a:ext cx="6075663" cy="7394321"/>
                    </a:xfrm>
                    <a:prstGeom prst="rect">
                      <a:avLst/>
                    </a:prstGeom>
                    <a:ln>
                      <a:noFill/>
                    </a:ln>
                    <a:extLst>
                      <a:ext uri="{53640926-AAD7-44D8-BBD7-CCE9431645EC}">
                        <a14:shadowObscured xmlns:a14="http://schemas.microsoft.com/office/drawing/2010/main"/>
                      </a:ext>
                    </a:extLst>
                  </pic:spPr>
                </pic:pic>
              </a:graphicData>
            </a:graphic>
          </wp:inline>
        </w:drawing>
      </w:r>
    </w:p>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Pr>
        <w:pStyle w:val="Heading2"/>
        <w:sectPr w:rsidR="00015EDA">
          <w:footerReference w:type="default" r:id="rId27"/>
          <w:pgSz w:w="11906" w:h="16838"/>
          <w:pgMar w:top="1440" w:right="1440" w:bottom="1440" w:left="1440" w:header="708" w:footer="708" w:gutter="0"/>
          <w:cols w:space="708"/>
          <w:docGrid w:linePitch="360"/>
        </w:sectPr>
      </w:pPr>
    </w:p>
    <w:p w:rsidR="00015EDA" w:rsidRDefault="00015EDA" w:rsidP="00015EDA">
      <w:pPr>
        <w:pStyle w:val="Heading2"/>
        <w:ind w:firstLine="720"/>
      </w:pPr>
      <w:r>
        <w:lastRenderedPageBreak/>
        <w:t>2.2 Process Flow Diagram – methane to methanol</w:t>
      </w:r>
    </w:p>
    <w:p w:rsidR="00015EDA" w:rsidRDefault="00015EDA" w:rsidP="00015EDA">
      <w:pPr>
        <w:keepNext/>
      </w:pPr>
      <w:r>
        <w:rPr>
          <w:noProof/>
          <w:lang w:eastAsia="en-NZ"/>
        </w:rPr>
        <w:drawing>
          <wp:inline distT="0" distB="0" distL="0" distR="0" wp14:anchorId="5543C11E" wp14:editId="23548F5D">
            <wp:extent cx="9039225" cy="4875259"/>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499" t="28933" r="24122" b="22760"/>
                    <a:stretch/>
                  </pic:blipFill>
                  <pic:spPr bwMode="auto">
                    <a:xfrm>
                      <a:off x="0" y="0"/>
                      <a:ext cx="9133487" cy="4926099"/>
                    </a:xfrm>
                    <a:prstGeom prst="rect">
                      <a:avLst/>
                    </a:prstGeom>
                    <a:ln>
                      <a:noFill/>
                    </a:ln>
                    <a:extLst>
                      <a:ext uri="{53640926-AAD7-44D8-BBD7-CCE9431645EC}">
                        <a14:shadowObscured xmlns:a14="http://schemas.microsoft.com/office/drawing/2010/main"/>
                      </a:ext>
                    </a:extLst>
                  </pic:spPr>
                </pic:pic>
              </a:graphicData>
            </a:graphic>
          </wp:inline>
        </w:drawing>
      </w:r>
    </w:p>
    <w:p w:rsidR="00015EDA" w:rsidRDefault="00015EDA" w:rsidP="00015EDA">
      <w:pPr>
        <w:pStyle w:val="Caption"/>
        <w:jc w:val="center"/>
      </w:pPr>
      <w:r>
        <w:t xml:space="preserve">Figure </w:t>
      </w:r>
      <w:r w:rsidR="006566FB">
        <w:fldChar w:fldCharType="begin"/>
      </w:r>
      <w:r w:rsidR="006566FB">
        <w:instrText xml:space="preserve"> SEQ Figure \* ARABIC </w:instrText>
      </w:r>
      <w:r w:rsidR="006566FB">
        <w:fldChar w:fldCharType="separate"/>
      </w:r>
      <w:r>
        <w:rPr>
          <w:noProof/>
        </w:rPr>
        <w:t>1</w:t>
      </w:r>
      <w:r w:rsidR="006566FB">
        <w:rPr>
          <w:noProof/>
        </w:rPr>
        <w:fldChar w:fldCharType="end"/>
      </w:r>
      <w:r>
        <w:rPr>
          <w:noProof/>
        </w:rPr>
        <w:t>1</w:t>
      </w:r>
      <w:r>
        <w:t xml:space="preserve">: </w:t>
      </w:r>
      <w:r w:rsidRPr="005B53D4">
        <w:t xml:space="preserve"> Process flow diagram of steam reformation of methane into methanol</w:t>
      </w:r>
    </w:p>
    <w:p w:rsidR="00015EDA" w:rsidRDefault="006566FB" w:rsidP="00015EDA">
      <w:pPr>
        <w:jc w:val="center"/>
        <w:sectPr w:rsidR="00015EDA" w:rsidSect="00015EDA">
          <w:pgSz w:w="16838" w:h="11906" w:orient="landscape"/>
          <w:pgMar w:top="1440" w:right="1440" w:bottom="1440" w:left="1440" w:header="709" w:footer="709" w:gutter="0"/>
          <w:cols w:space="708"/>
          <w:docGrid w:linePitch="360"/>
        </w:sectPr>
      </w:pPr>
      <w:sdt>
        <w:sdtPr>
          <w:id w:val="-1149127822"/>
          <w:citation/>
        </w:sdtPr>
        <w:sdtEndPr/>
        <w:sdtContent>
          <w:r w:rsidR="00015EDA">
            <w:fldChar w:fldCharType="begin"/>
          </w:r>
          <w:r w:rsidR="00015EDA">
            <w:instrText xml:space="preserve"> CITATION You16 \l 5129 </w:instrText>
          </w:r>
          <w:r w:rsidR="00015EDA">
            <w:fldChar w:fldCharType="separate"/>
          </w:r>
          <w:r w:rsidR="006D26C9" w:rsidRPr="006D26C9">
            <w:rPr>
              <w:noProof/>
            </w:rPr>
            <w:t>[4]</w:t>
          </w:r>
          <w:r w:rsidR="00015EDA">
            <w:fldChar w:fldCharType="end"/>
          </w:r>
        </w:sdtContent>
      </w:sdt>
    </w:p>
    <w:p w:rsidR="00015EDA" w:rsidRDefault="00015EDA" w:rsidP="00015EDA">
      <w:pPr>
        <w:pStyle w:val="Heading1"/>
      </w:pPr>
      <w:r>
        <w:lastRenderedPageBreak/>
        <w:t>3. Risk Assessment</w:t>
      </w:r>
    </w:p>
    <w:p w:rsidR="00015EDA" w:rsidRPr="00DF20E5" w:rsidRDefault="00015EDA" w:rsidP="00015EDA">
      <w:pPr>
        <w:pStyle w:val="Heading2"/>
        <w:ind w:firstLine="720"/>
      </w:pPr>
      <w:r>
        <w:t>3.1 Risk register</w:t>
      </w:r>
    </w:p>
    <w:p w:rsidR="00015EDA" w:rsidRPr="00CD6CA8" w:rsidRDefault="00015EDA" w:rsidP="00015EDA">
      <w:pPr>
        <w:spacing w:after="0" w:line="240" w:lineRule="auto"/>
        <w:rPr>
          <w:rFonts w:ascii="Times New Roman" w:eastAsia="Times New Roman" w:hAnsi="Times New Roman" w:cs="Times New Roman"/>
          <w:sz w:val="24"/>
          <w:szCs w:val="24"/>
          <w:lang w:eastAsia="en-NZ"/>
        </w:rPr>
      </w:pPr>
    </w:p>
    <w:tbl>
      <w:tblPr>
        <w:tblW w:w="14736" w:type="dxa"/>
        <w:tblCellMar>
          <w:top w:w="15" w:type="dxa"/>
          <w:left w:w="15" w:type="dxa"/>
          <w:bottom w:w="15" w:type="dxa"/>
          <w:right w:w="15" w:type="dxa"/>
        </w:tblCellMar>
        <w:tblLook w:val="04A0" w:firstRow="1" w:lastRow="0" w:firstColumn="1" w:lastColumn="0" w:noHBand="0" w:noVBand="1"/>
      </w:tblPr>
      <w:tblGrid>
        <w:gridCol w:w="902"/>
        <w:gridCol w:w="5109"/>
        <w:gridCol w:w="5297"/>
        <w:gridCol w:w="1127"/>
        <w:gridCol w:w="1008"/>
        <w:gridCol w:w="1293"/>
      </w:tblGrid>
      <w:tr w:rsidR="00015EDA" w:rsidRPr="00CD6CA8" w:rsidTr="00015EDA">
        <w:trPr>
          <w:trHeight w:val="24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6"/>
                <w:szCs w:val="16"/>
                <w:lang w:eastAsia="en-NZ"/>
              </w:rPr>
              <w:t xml:space="preserve">Reference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b/>
                <w:bCs/>
                <w:color w:val="000000"/>
                <w:sz w:val="16"/>
                <w:szCs w:val="16"/>
                <w:lang w:eastAsia="en-NZ"/>
              </w:rPr>
              <w:t>Risk</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b/>
                <w:bCs/>
                <w:color w:val="000000"/>
                <w:sz w:val="16"/>
                <w:szCs w:val="16"/>
                <w:lang w:eastAsia="en-NZ"/>
              </w:rPr>
              <w:t>Recommended action / Treatment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b/>
                <w:bCs/>
                <w:color w:val="000000"/>
                <w:sz w:val="16"/>
                <w:szCs w:val="16"/>
                <w:lang w:eastAsia="en-NZ"/>
              </w:rPr>
              <w:t>Consequence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b/>
                <w:bCs/>
                <w:color w:val="000000"/>
                <w:sz w:val="16"/>
                <w:szCs w:val="16"/>
                <w:lang w:eastAsia="en-NZ"/>
              </w:rPr>
              <w:t>Likelihood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b/>
                <w:bCs/>
                <w:color w:val="000000"/>
                <w:sz w:val="16"/>
                <w:szCs w:val="16"/>
                <w:lang w:eastAsia="en-NZ"/>
              </w:rPr>
              <w:t>Consequence</w:t>
            </w:r>
          </w:p>
        </w:tc>
      </w:tr>
      <w:tr w:rsidR="00015EDA" w:rsidRPr="00CD6CA8" w:rsidTr="00015EDA">
        <w:trPr>
          <w:trHeight w:val="243"/>
        </w:trPr>
        <w:tc>
          <w:tcPr>
            <w:tcW w:w="0" w:type="auto"/>
            <w:gridSpan w:val="6"/>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b/>
                <w:bCs/>
                <w:color w:val="000000"/>
                <w:sz w:val="14"/>
                <w:szCs w:val="14"/>
                <w:lang w:eastAsia="en-NZ"/>
              </w:rPr>
              <w:t>Political</w:t>
            </w:r>
          </w:p>
        </w:tc>
      </w:tr>
      <w:tr w:rsidR="00015EDA" w:rsidRPr="00CD6CA8" w:rsidTr="00015EDA">
        <w:trPr>
          <w:trHeight w:val="63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Implementing methane gas systems would be a good thing for the environment which would appeal to many New Zealanders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1. Pass on information to general public of the benefits of these systems to the environment by running informative advertising across many forms of media </w:t>
            </w:r>
          </w:p>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2. Appeal to Green minded political parties and MPs to inform their electorate of the benefits to the environment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Huge gain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Almost certain</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FFFFFF"/>
                <w:sz w:val="14"/>
                <w:szCs w:val="14"/>
                <w:lang w:eastAsia="en-NZ"/>
              </w:rPr>
              <w:t>High Opportunity</w:t>
            </w:r>
          </w:p>
        </w:tc>
      </w:tr>
      <w:tr w:rsidR="00015EDA" w:rsidRPr="00CD6CA8" w:rsidTr="00015EDA">
        <w:trPr>
          <w:trHeight w:val="53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Potentially lead to shutdown of Huntly PowerStation which would lead to loss in jobs and money for local region, this will displease the people of Huntley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1.Stress that replacement jobs will be created by the project</w:t>
            </w:r>
          </w:p>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2. Base operations In Huntly.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Negligible Loss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Likely </w:t>
            </w:r>
          </w:p>
        </w:tc>
        <w:tc>
          <w:tcPr>
            <w:tcW w:w="0" w:type="auto"/>
            <w:tcBorders>
              <w:top w:val="single" w:sz="6" w:space="0" w:color="000000"/>
              <w:left w:val="single" w:sz="6" w:space="0" w:color="000000"/>
              <w:bottom w:val="single" w:sz="6" w:space="0" w:color="000000"/>
              <w:right w:val="single" w:sz="6" w:space="0" w:color="000000"/>
            </w:tcBorders>
            <w:shd w:val="clear" w:color="auto" w:fill="FFFF0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Low Risk Loss</w:t>
            </w:r>
          </w:p>
        </w:tc>
      </w:tr>
      <w:tr w:rsidR="00015EDA" w:rsidRPr="00CD6CA8" w:rsidTr="00015EDA">
        <w:trPr>
          <w:trHeight w:val="50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Able to apply for government funding, which would help project finances significantly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Default="00015EDA" w:rsidP="00015EDA">
            <w:pPr>
              <w:spacing w:after="0" w:line="240" w:lineRule="auto"/>
              <w:rPr>
                <w:rFonts w:ascii="Calibri" w:eastAsia="Times New Roman" w:hAnsi="Calibri" w:cs="Times New Roman"/>
                <w:color w:val="000000"/>
                <w:sz w:val="14"/>
                <w:szCs w:val="14"/>
                <w:lang w:eastAsia="en-NZ"/>
              </w:rPr>
            </w:pPr>
            <w:r w:rsidRPr="00CD6CA8">
              <w:rPr>
                <w:rFonts w:ascii="Calibri" w:eastAsia="Times New Roman" w:hAnsi="Calibri" w:cs="Times New Roman"/>
                <w:color w:val="000000"/>
                <w:sz w:val="14"/>
                <w:szCs w:val="14"/>
                <w:lang w:eastAsia="en-NZ"/>
              </w:rPr>
              <w:t xml:space="preserve">1. Organise a convincing campaign to get government funding </w:t>
            </w:r>
          </w:p>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2.Apply for largest sum of money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Huge Gain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Likely</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FFFFFF"/>
                <w:sz w:val="14"/>
                <w:szCs w:val="14"/>
                <w:lang w:eastAsia="en-NZ"/>
              </w:rPr>
              <w:t>High Opportunity</w:t>
            </w:r>
          </w:p>
        </w:tc>
      </w:tr>
      <w:tr w:rsidR="00015EDA" w:rsidRPr="00CD6CA8" w:rsidTr="00015EDA">
        <w:trPr>
          <w:trHeight w:val="243"/>
        </w:trPr>
        <w:tc>
          <w:tcPr>
            <w:tcW w:w="0" w:type="auto"/>
            <w:gridSpan w:val="6"/>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b/>
                <w:bCs/>
                <w:color w:val="000000"/>
                <w:sz w:val="14"/>
                <w:szCs w:val="14"/>
                <w:lang w:eastAsia="en-NZ"/>
              </w:rPr>
              <w:t>Economical</w:t>
            </w:r>
          </w:p>
        </w:tc>
      </w:tr>
      <w:tr w:rsidR="00015EDA" w:rsidRPr="00CD6CA8" w:rsidTr="00015EDA">
        <w:trPr>
          <w:trHeight w:val="27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Save dairy farmers money on fertiliser bills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1.Ensure that fertiliser demand of farmers is met by system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Major Gain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Likely</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FFFFFF"/>
                <w:sz w:val="14"/>
                <w:szCs w:val="14"/>
                <w:lang w:eastAsia="en-NZ"/>
              </w:rPr>
              <w:t>High Opportunity</w:t>
            </w:r>
          </w:p>
        </w:tc>
      </w:tr>
      <w:tr w:rsidR="00015EDA" w:rsidRPr="00CD6CA8" w:rsidTr="00015EDA">
        <w:trPr>
          <w:trHeight w:val="34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Create Jobs in manufacturing and servicing industries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1.Strive to manufacture components within New Zealand </w:t>
            </w:r>
          </w:p>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2.Work with existing New Zealand farm service providers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Moderate gain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Possible</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Medium Opportunity</w:t>
            </w:r>
          </w:p>
        </w:tc>
      </w:tr>
      <w:tr w:rsidR="00015EDA" w:rsidRPr="00CD6CA8" w:rsidTr="00015EDA">
        <w:trPr>
          <w:trHeight w:val="401"/>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Makes New Zealand product more desirable internationally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1.Reasearch how green image effects overseas sales</w:t>
            </w:r>
          </w:p>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2.Make these benefits known to potential customers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Moderate gain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Likely</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Medium Opportunity</w:t>
            </w:r>
          </w:p>
        </w:tc>
      </w:tr>
      <w:tr w:rsidR="00015EDA" w:rsidRPr="00CD6CA8" w:rsidTr="00015EDA">
        <w:trPr>
          <w:trHeight w:val="47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Opportunity for export of New Zealand methane technology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1.Search for similar gap in market outside of New Zealand </w:t>
            </w:r>
          </w:p>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2.Inform possible international clients of benefits and New Zealand testing</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Huge Gain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Possible</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FFFFFF"/>
                <w:sz w:val="14"/>
                <w:szCs w:val="14"/>
                <w:lang w:eastAsia="en-NZ"/>
              </w:rPr>
              <w:t>High Opportunity</w:t>
            </w:r>
          </w:p>
        </w:tc>
      </w:tr>
      <w:tr w:rsidR="00015EDA" w:rsidRPr="00CD6CA8" w:rsidTr="00015EDA">
        <w:trPr>
          <w:trHeight w:val="47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Run out of funding before product is able to be mass marketed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1.Manage funds and plan expenditure </w:t>
            </w:r>
          </w:p>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2.Have back up funds available 3.Constantly look for investors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Severe Loss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Unlikely</w:t>
            </w:r>
          </w:p>
        </w:tc>
        <w:tc>
          <w:tcPr>
            <w:tcW w:w="0" w:type="auto"/>
            <w:tcBorders>
              <w:top w:val="single" w:sz="6" w:space="0" w:color="000000"/>
              <w:left w:val="single" w:sz="6" w:space="0" w:color="000000"/>
              <w:bottom w:val="single" w:sz="6" w:space="0" w:color="000000"/>
              <w:right w:val="single" w:sz="6" w:space="0" w:color="000000"/>
            </w:tcBorders>
            <w:shd w:val="clear" w:color="auto" w:fill="FF000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High Risk Loss</w:t>
            </w:r>
          </w:p>
        </w:tc>
      </w:tr>
      <w:tr w:rsidR="00015EDA" w:rsidRPr="00CD6CA8" w:rsidTr="00015EDA">
        <w:trPr>
          <w:trHeight w:val="32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Country enters economic hardship before product is mass marketed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1. Secure funds as soon as possible after they are promised </w:t>
            </w:r>
          </w:p>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2.Look at investors from over seas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Major Loss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Rare</w:t>
            </w:r>
          </w:p>
        </w:tc>
        <w:tc>
          <w:tcPr>
            <w:tcW w:w="0" w:type="auto"/>
            <w:tcBorders>
              <w:top w:val="single" w:sz="6" w:space="0" w:color="000000"/>
              <w:left w:val="single" w:sz="6" w:space="0" w:color="000000"/>
              <w:bottom w:val="single" w:sz="6" w:space="0" w:color="000000"/>
              <w:right w:val="single" w:sz="6" w:space="0" w:color="000000"/>
            </w:tcBorders>
            <w:shd w:val="clear" w:color="auto" w:fill="FF000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High Risk Loss</w:t>
            </w:r>
          </w:p>
        </w:tc>
      </w:tr>
      <w:tr w:rsidR="00015EDA" w:rsidRPr="00CD6CA8" w:rsidTr="00015EDA">
        <w:trPr>
          <w:trHeight w:val="47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Obtain funding from overseas governments who are also interested in implementing the technology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1.Search for countries with similar industries 2.Inform them of the benefits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Moderate gain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likely </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Medium Opportunity</w:t>
            </w:r>
          </w:p>
        </w:tc>
      </w:tr>
      <w:tr w:rsidR="00015EDA" w:rsidRPr="00CD6CA8" w:rsidTr="00015EDA">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Make a lot of money if technology is successfully applied on a large scale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1. Ensure that once benefits have been quantified that this information is widely available </w:t>
            </w:r>
          </w:p>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2.Ensure that ability to manufacture is able to keep up with demand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Huge gain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likely</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FFFFFF"/>
                <w:sz w:val="14"/>
                <w:szCs w:val="14"/>
                <w:lang w:eastAsia="en-NZ"/>
              </w:rPr>
              <w:t>High Opportunity</w:t>
            </w:r>
          </w:p>
        </w:tc>
      </w:tr>
      <w:tr w:rsidR="00015EDA" w:rsidRPr="00CD6CA8" w:rsidTr="00015EDA">
        <w:trPr>
          <w:trHeight w:val="229"/>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Lack of funding to hire competent people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1.Secure funding early and set aside a sufficient amount to hire people with enough expertise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Major Loss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Rare</w:t>
            </w:r>
          </w:p>
        </w:tc>
        <w:tc>
          <w:tcPr>
            <w:tcW w:w="0" w:type="auto"/>
            <w:tcBorders>
              <w:top w:val="single" w:sz="6" w:space="0" w:color="000000"/>
              <w:left w:val="single" w:sz="6" w:space="0" w:color="000000"/>
              <w:bottom w:val="single" w:sz="6" w:space="0" w:color="000000"/>
              <w:right w:val="single" w:sz="6" w:space="0" w:color="000000"/>
            </w:tcBorders>
            <w:shd w:val="clear" w:color="auto" w:fill="FF000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High Risk Loss</w:t>
            </w:r>
          </w:p>
        </w:tc>
      </w:tr>
      <w:tr w:rsidR="00015EDA" w:rsidRPr="00CD6CA8" w:rsidTr="00015EDA">
        <w:trPr>
          <w:trHeight w:val="401"/>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Free advertising opportunity's from interested media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1.Send information packs to all forms of local and international media when a major target has been reached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Huge Gain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Possible</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FFFFFF"/>
                <w:sz w:val="14"/>
                <w:szCs w:val="14"/>
                <w:lang w:eastAsia="en-NZ"/>
              </w:rPr>
              <w:t>High Opportunity</w:t>
            </w:r>
          </w:p>
        </w:tc>
      </w:tr>
      <w:tr w:rsidR="00015EDA" w:rsidRPr="00CD6CA8" w:rsidTr="00015EDA">
        <w:trPr>
          <w:trHeight w:val="47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Required technology already exists , so R&amp;D costs are about making technology more viable on a smaller scale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1.Reasearch existing patents in related areas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Moderate gain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Possible</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Medium Opportunity</w:t>
            </w:r>
          </w:p>
        </w:tc>
      </w:tr>
      <w:tr w:rsidR="00015EDA" w:rsidRPr="00CD6CA8" w:rsidTr="00015EDA">
        <w:trPr>
          <w:trHeight w:val="50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Market competitor releases another product with similar benefits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1.Ensure that security procedures are in place to prevent espionage </w:t>
            </w:r>
          </w:p>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2.Reasearch market to make sure that competitors are not able to do so</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Severe Loss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Unlikely </w:t>
            </w:r>
          </w:p>
        </w:tc>
        <w:tc>
          <w:tcPr>
            <w:tcW w:w="0" w:type="auto"/>
            <w:tcBorders>
              <w:top w:val="single" w:sz="6" w:space="0" w:color="000000"/>
              <w:left w:val="single" w:sz="6" w:space="0" w:color="000000"/>
              <w:bottom w:val="single" w:sz="6" w:space="0" w:color="000000"/>
              <w:right w:val="single" w:sz="6" w:space="0" w:color="000000"/>
            </w:tcBorders>
            <w:shd w:val="clear" w:color="auto" w:fill="FF000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High Risk Loss</w:t>
            </w:r>
          </w:p>
        </w:tc>
      </w:tr>
      <w:tr w:rsidR="00015EDA" w:rsidRPr="00CD6CA8" w:rsidTr="00015EDA">
        <w:trPr>
          <w:trHeight w:val="243"/>
        </w:trPr>
        <w:tc>
          <w:tcPr>
            <w:tcW w:w="0" w:type="auto"/>
            <w:gridSpan w:val="6"/>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b/>
                <w:bCs/>
                <w:color w:val="000000"/>
                <w:sz w:val="14"/>
                <w:szCs w:val="14"/>
                <w:lang w:eastAsia="en-NZ"/>
              </w:rPr>
              <w:lastRenderedPageBreak/>
              <w:t>Social</w:t>
            </w:r>
          </w:p>
        </w:tc>
      </w:tr>
      <w:tr w:rsidR="00015EDA" w:rsidRPr="00CD6CA8" w:rsidTr="00015EDA">
        <w:trPr>
          <w:trHeight w:val="47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Severe Injury or death due to misuse of technology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1.Ensure that systems comply with relevant standards </w:t>
            </w:r>
          </w:p>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2.Ensure that customers are trained and well informed on how to safely operate systems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Severe Loss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Very Rare</w:t>
            </w:r>
          </w:p>
        </w:tc>
        <w:tc>
          <w:tcPr>
            <w:tcW w:w="0" w:type="auto"/>
            <w:tcBorders>
              <w:top w:val="single" w:sz="6" w:space="0" w:color="000000"/>
              <w:left w:val="single" w:sz="6" w:space="0" w:color="000000"/>
              <w:bottom w:val="single" w:sz="6" w:space="0" w:color="000000"/>
              <w:right w:val="single" w:sz="6" w:space="0" w:color="000000"/>
            </w:tcBorders>
            <w:shd w:val="clear" w:color="auto" w:fill="FF000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High Risk Loss</w:t>
            </w:r>
          </w:p>
        </w:tc>
      </w:tr>
      <w:tr w:rsidR="00015EDA" w:rsidRPr="00CD6CA8" w:rsidTr="00015EDA">
        <w:trPr>
          <w:trHeight w:val="229"/>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New Zealand population get on board with the idea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1.Capitlise on interest of public and hold meetings and spread information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Major gain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Possible</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Medium Opportunity</w:t>
            </w:r>
          </w:p>
        </w:tc>
      </w:tr>
      <w:tr w:rsidR="00015EDA" w:rsidRPr="00CD6CA8" w:rsidTr="00015EDA">
        <w:trPr>
          <w:trHeight w:val="32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Project showcases New Zealand as a positive example to the rest of the world, which could lead to more business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1.Have projections on benefits for other countries with possible markets ready for when possible overseas customers are interested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Major gain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Likely</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FFFFFF"/>
                <w:sz w:val="14"/>
                <w:szCs w:val="14"/>
                <w:lang w:eastAsia="en-NZ"/>
              </w:rPr>
              <w:t>High Opportunity</w:t>
            </w:r>
          </w:p>
        </w:tc>
      </w:tr>
      <w:tr w:rsidR="00015EDA" w:rsidRPr="00CD6CA8" w:rsidTr="00015EDA">
        <w:trPr>
          <w:trHeight w:val="229"/>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Project causes job reduction for small towns near Huntly PowerStation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1 Where possible manufacture components in towns effected by closer of power stations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Minor loss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likely</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Medium Risk Loss</w:t>
            </w:r>
          </w:p>
        </w:tc>
      </w:tr>
      <w:tr w:rsidR="00015EDA" w:rsidRPr="00CD6CA8" w:rsidTr="00015EDA">
        <w:trPr>
          <w:trHeight w:val="229"/>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20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Project creates manufacturing and servicing jobs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1.Ensure manufacturing jobs stay in New Zealand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Moderate gain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Almost certain</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Medium Opportunity</w:t>
            </w:r>
          </w:p>
        </w:tc>
      </w:tr>
      <w:tr w:rsidR="00015EDA" w:rsidRPr="00CD6CA8" w:rsidTr="00015EDA">
        <w:trPr>
          <w:trHeight w:val="229"/>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21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Vandalism of instruments from members of public whose jobs are negatively effected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1.Ensure that test system has high level of security 2.Work with local communities to address grievances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Minor loss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Rare</w:t>
            </w:r>
          </w:p>
        </w:tc>
        <w:tc>
          <w:tcPr>
            <w:tcW w:w="0" w:type="auto"/>
            <w:tcBorders>
              <w:top w:val="single" w:sz="6" w:space="0" w:color="000000"/>
              <w:left w:val="single" w:sz="6" w:space="0" w:color="000000"/>
              <w:bottom w:val="single" w:sz="6" w:space="0" w:color="000000"/>
              <w:right w:val="single" w:sz="6" w:space="0" w:color="000000"/>
            </w:tcBorders>
            <w:shd w:val="clear" w:color="auto" w:fill="FFFF0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Low Risk Loss</w:t>
            </w:r>
          </w:p>
        </w:tc>
      </w:tr>
      <w:tr w:rsidR="00015EDA" w:rsidRPr="00CD6CA8" w:rsidTr="00015EDA">
        <w:trPr>
          <w:trHeight w:val="32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22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Cements New Zealand's image of being an innovative nation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 Inform government of likely benefits 2.Captilise on any advertising government offer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Moderate gain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Likely </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Medium Opportunity</w:t>
            </w:r>
          </w:p>
        </w:tc>
      </w:tr>
      <w:tr w:rsidR="00015EDA" w:rsidRPr="00CD6CA8" w:rsidTr="00015EDA">
        <w:trPr>
          <w:trHeight w:val="34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23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Ascetics of systems could be viewed negatively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1.Consult an audience of people who live near where systems will be put into place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Minor loss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possible</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Medium Risk Loss</w:t>
            </w:r>
          </w:p>
        </w:tc>
      </w:tr>
      <w:tr w:rsidR="00015EDA" w:rsidRPr="00CD6CA8" w:rsidTr="00015EDA">
        <w:trPr>
          <w:trHeight w:val="56"/>
        </w:trPr>
        <w:tc>
          <w:tcPr>
            <w:tcW w:w="0" w:type="auto"/>
            <w:gridSpan w:val="6"/>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b/>
                <w:bCs/>
                <w:color w:val="000000"/>
                <w:sz w:val="14"/>
                <w:szCs w:val="14"/>
                <w:lang w:eastAsia="en-NZ"/>
              </w:rPr>
              <w:t>Technological</w:t>
            </w:r>
          </w:p>
        </w:tc>
      </w:tr>
      <w:tr w:rsidR="00015EDA" w:rsidRPr="00CD6CA8" w:rsidTr="00015EDA">
        <w:trPr>
          <w:trHeight w:val="1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24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Early system gets damaged or misused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1.Have spare parts manufactured 2.Educate operators of early devise on how to operate properly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Moderate loss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possible</w:t>
            </w:r>
          </w:p>
        </w:tc>
        <w:tc>
          <w:tcPr>
            <w:tcW w:w="0" w:type="auto"/>
            <w:tcBorders>
              <w:top w:val="single" w:sz="6" w:space="0" w:color="000000"/>
              <w:left w:val="single" w:sz="6" w:space="0" w:color="000000"/>
              <w:bottom w:val="single" w:sz="6" w:space="0" w:color="000000"/>
              <w:right w:val="single" w:sz="6" w:space="0" w:color="000000"/>
            </w:tcBorders>
            <w:shd w:val="clear" w:color="auto" w:fill="FF000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High Risk Loss</w:t>
            </w:r>
          </w:p>
        </w:tc>
      </w:tr>
      <w:tr w:rsidR="00015EDA" w:rsidRPr="00CD6CA8" w:rsidTr="00015EDA">
        <w:trPr>
          <w:trHeight w:val="229"/>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25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System could require high levels of Maintenance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 Design systems with ease of maintenance in mind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Minor loss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likely</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Medium Risk Loss</w:t>
            </w:r>
          </w:p>
        </w:tc>
      </w:tr>
      <w:tr w:rsidR="00015EDA" w:rsidRPr="00CD6CA8" w:rsidTr="00015EDA">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26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Problems manufacturing large numbers in New Zealand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1. Plan for large manufacturing order 2.Have back up manufacturing facilities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Moderate loss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Possible</w:t>
            </w:r>
          </w:p>
        </w:tc>
        <w:tc>
          <w:tcPr>
            <w:tcW w:w="0" w:type="auto"/>
            <w:tcBorders>
              <w:top w:val="single" w:sz="6" w:space="0" w:color="000000"/>
              <w:left w:val="single" w:sz="6" w:space="0" w:color="000000"/>
              <w:bottom w:val="single" w:sz="6" w:space="0" w:color="000000"/>
              <w:right w:val="single" w:sz="6" w:space="0" w:color="000000"/>
            </w:tcBorders>
            <w:shd w:val="clear" w:color="auto" w:fill="FF000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High Risk Loss</w:t>
            </w:r>
          </w:p>
        </w:tc>
      </w:tr>
      <w:tr w:rsidR="00015EDA" w:rsidRPr="00CD6CA8" w:rsidTr="00015EDA">
        <w:trPr>
          <w:trHeight w:val="35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27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Failing of components in prototype system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1.Test each component before testing the whole system </w:t>
            </w:r>
          </w:p>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2.Have spare parts ready to replace broken ones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Minor loss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Possible</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Medium Risk Loss</w:t>
            </w:r>
          </w:p>
        </w:tc>
      </w:tr>
      <w:tr w:rsidR="00015EDA" w:rsidRPr="00CD6CA8" w:rsidTr="00015EDA">
        <w:trPr>
          <w:trHeight w:val="229"/>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28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May find possible improvements to the system during prototype system testing</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1.Test porotype system and be open to changes in design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Moderate gain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Likely</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Medium Opportunity</w:t>
            </w:r>
          </w:p>
        </w:tc>
      </w:tr>
      <w:tr w:rsidR="00015EDA" w:rsidRPr="00CD6CA8" w:rsidTr="00015EDA">
        <w:trPr>
          <w:trHeight w:val="34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29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Some possible locations may be highly inaccessible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1.Design components with ease of transport in mind 2.Design components so that they can be transferred up gravel roads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Moderate loss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Rare</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Medium Risk Loss</w:t>
            </w:r>
          </w:p>
        </w:tc>
      </w:tr>
      <w:tr w:rsidR="00015EDA" w:rsidRPr="00CD6CA8" w:rsidTr="00015EDA">
        <w:trPr>
          <w:trHeight w:val="229"/>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30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Difficulty in extracting all of methane from manure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1.Set aside a larger proportion of R&amp;D budget to solve the issue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Major loss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likely</w:t>
            </w:r>
          </w:p>
        </w:tc>
        <w:tc>
          <w:tcPr>
            <w:tcW w:w="0" w:type="auto"/>
            <w:tcBorders>
              <w:top w:val="single" w:sz="6" w:space="0" w:color="000000"/>
              <w:left w:val="single" w:sz="6" w:space="0" w:color="000000"/>
              <w:bottom w:val="single" w:sz="6" w:space="0" w:color="000000"/>
              <w:right w:val="single" w:sz="6" w:space="0" w:color="000000"/>
            </w:tcBorders>
            <w:shd w:val="clear" w:color="auto" w:fill="FF000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High Risk Loss</w:t>
            </w:r>
          </w:p>
        </w:tc>
      </w:tr>
      <w:tr w:rsidR="00015EDA" w:rsidRPr="00CD6CA8" w:rsidTr="00015EDA">
        <w:trPr>
          <w:trHeight w:val="24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31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Unable to collect manure efficiently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1.Set aside a larger proportion of R&amp;D budget to solve the issue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Major loss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possible</w:t>
            </w:r>
          </w:p>
        </w:tc>
        <w:tc>
          <w:tcPr>
            <w:tcW w:w="0" w:type="auto"/>
            <w:tcBorders>
              <w:top w:val="single" w:sz="6" w:space="0" w:color="000000"/>
              <w:left w:val="single" w:sz="6" w:space="0" w:color="000000"/>
              <w:bottom w:val="single" w:sz="6" w:space="0" w:color="000000"/>
              <w:right w:val="single" w:sz="6" w:space="0" w:color="000000"/>
            </w:tcBorders>
            <w:shd w:val="clear" w:color="auto" w:fill="FF000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High Risk Loss</w:t>
            </w:r>
          </w:p>
        </w:tc>
      </w:tr>
      <w:tr w:rsidR="00015EDA" w:rsidRPr="00CD6CA8" w:rsidTr="00015EDA">
        <w:trPr>
          <w:trHeight w:val="229"/>
        </w:trPr>
        <w:tc>
          <w:tcPr>
            <w:tcW w:w="0" w:type="auto"/>
            <w:gridSpan w:val="6"/>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b/>
                <w:bCs/>
                <w:color w:val="000000"/>
                <w:sz w:val="14"/>
                <w:szCs w:val="14"/>
                <w:lang w:eastAsia="en-NZ"/>
              </w:rPr>
              <w:t>Environmental</w:t>
            </w:r>
          </w:p>
        </w:tc>
      </w:tr>
      <w:tr w:rsidR="00015EDA" w:rsidRPr="00CD6CA8" w:rsidTr="00015EDA">
        <w:trPr>
          <w:trHeight w:val="229"/>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32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Reduce reliance on fossil fuel generated power in the North Island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1.Keep possible clients informed on what is being achieved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Huge gain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likely</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FFFFFF"/>
                <w:sz w:val="14"/>
                <w:szCs w:val="14"/>
                <w:lang w:eastAsia="en-NZ"/>
              </w:rPr>
              <w:t>High Opportunity</w:t>
            </w:r>
          </w:p>
        </w:tc>
      </w:tr>
      <w:tr w:rsidR="00015EDA" w:rsidRPr="00CD6CA8" w:rsidTr="00015EDA">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33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Reduce harmful effects of methane from cow manure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1.Reasearch the benefits of burning methane rather than releasing it into atmosphere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Moderate gain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Almost Certain</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Medium Opportunity</w:t>
            </w:r>
          </w:p>
        </w:tc>
      </w:tr>
      <w:tr w:rsidR="00015EDA" w:rsidRPr="00CD6CA8" w:rsidTr="00015EDA">
        <w:trPr>
          <w:trHeight w:val="47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34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Improve New Zealand’s Waterways by reducing amount of manure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 Inform clients about harmful effects of manure in waterways and benefits of using it to burn instead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Huge gain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Possible</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FFFFFF"/>
                <w:sz w:val="14"/>
                <w:szCs w:val="14"/>
                <w:lang w:eastAsia="en-NZ"/>
              </w:rPr>
              <w:t>High Opportunity</w:t>
            </w:r>
          </w:p>
        </w:tc>
      </w:tr>
      <w:tr w:rsidR="00015EDA" w:rsidRPr="00CD6CA8" w:rsidTr="00015EDA">
        <w:trPr>
          <w:trHeight w:val="459"/>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35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Carbon footprint of manufacturing instruments outweighs benefits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 Try to produce components in south Auckland/Waikato to reduce transportation footprint. 2.Try to use materials available as locally as possible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Moderate loss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Very Rare</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Medium Risk Loss</w:t>
            </w:r>
          </w:p>
        </w:tc>
      </w:tr>
      <w:tr w:rsidR="00015EDA" w:rsidRPr="00CD6CA8" w:rsidTr="00015EDA">
        <w:trPr>
          <w:trHeight w:val="229"/>
        </w:trPr>
        <w:tc>
          <w:tcPr>
            <w:tcW w:w="0" w:type="auto"/>
            <w:gridSpan w:val="6"/>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b/>
                <w:bCs/>
                <w:color w:val="000000"/>
                <w:sz w:val="14"/>
                <w:szCs w:val="14"/>
                <w:lang w:eastAsia="en-NZ"/>
              </w:rPr>
              <w:t>Legal</w:t>
            </w:r>
          </w:p>
        </w:tc>
      </w:tr>
      <w:tr w:rsidR="00015EDA" w:rsidRPr="00CD6CA8" w:rsidTr="00015EDA">
        <w:trPr>
          <w:trHeight w:val="11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36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Patent may have already been submitted that will restrict use of certain components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1.Research patients before committing major time and money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Severe Loss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Rare</w:t>
            </w:r>
          </w:p>
        </w:tc>
        <w:tc>
          <w:tcPr>
            <w:tcW w:w="0" w:type="auto"/>
            <w:tcBorders>
              <w:top w:val="single" w:sz="6" w:space="0" w:color="000000"/>
              <w:left w:val="single" w:sz="6" w:space="0" w:color="000000"/>
              <w:bottom w:val="single" w:sz="6" w:space="0" w:color="000000"/>
              <w:right w:val="single" w:sz="6" w:space="0" w:color="000000"/>
            </w:tcBorders>
            <w:shd w:val="clear" w:color="auto" w:fill="FF000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High Risk Loss</w:t>
            </w:r>
          </w:p>
        </w:tc>
      </w:tr>
      <w:tr w:rsidR="00015EDA" w:rsidRPr="00CD6CA8" w:rsidTr="00015EDA">
        <w:trPr>
          <w:trHeight w:val="11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37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Planning consent denied for systems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1.Researrch planning rules and put time and m9oney aside to make sure that submissions are of a high standard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Severe Loss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Unlikely</w:t>
            </w:r>
          </w:p>
        </w:tc>
        <w:tc>
          <w:tcPr>
            <w:tcW w:w="0" w:type="auto"/>
            <w:tcBorders>
              <w:top w:val="single" w:sz="6" w:space="0" w:color="000000"/>
              <w:left w:val="single" w:sz="6" w:space="0" w:color="000000"/>
              <w:bottom w:val="single" w:sz="6" w:space="0" w:color="000000"/>
              <w:right w:val="single" w:sz="6" w:space="0" w:color="000000"/>
            </w:tcBorders>
            <w:shd w:val="clear" w:color="auto" w:fill="FF000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High Risk Loss</w:t>
            </w:r>
          </w:p>
        </w:tc>
      </w:tr>
      <w:tr w:rsidR="00015EDA" w:rsidRPr="00CD6CA8" w:rsidTr="00015EDA">
        <w:trPr>
          <w:trHeight w:val="24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jc w:val="center"/>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38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 xml:space="preserve">Industrial espionage from employees could set back project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1.Invest in security of physical and virtual IP</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Severe loss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Very Rare</w:t>
            </w:r>
          </w:p>
        </w:tc>
        <w:tc>
          <w:tcPr>
            <w:tcW w:w="0" w:type="auto"/>
            <w:tcBorders>
              <w:top w:val="single" w:sz="6" w:space="0" w:color="000000"/>
              <w:left w:val="single" w:sz="6" w:space="0" w:color="000000"/>
              <w:bottom w:val="single" w:sz="6" w:space="0" w:color="000000"/>
              <w:right w:val="single" w:sz="6" w:space="0" w:color="000000"/>
            </w:tcBorders>
            <w:shd w:val="clear" w:color="auto" w:fill="FF0000"/>
            <w:tcMar>
              <w:top w:w="0" w:type="dxa"/>
              <w:left w:w="120" w:type="dxa"/>
              <w:bottom w:w="0" w:type="dxa"/>
              <w:right w:w="120" w:type="dxa"/>
            </w:tcMar>
            <w:hideMark/>
          </w:tcPr>
          <w:p w:rsidR="00015EDA" w:rsidRPr="00CD6CA8" w:rsidRDefault="00015EDA" w:rsidP="00015EDA">
            <w:pPr>
              <w:spacing w:after="0" w:line="240" w:lineRule="auto"/>
              <w:rPr>
                <w:rFonts w:ascii="Times New Roman" w:eastAsia="Times New Roman" w:hAnsi="Times New Roman" w:cs="Times New Roman"/>
                <w:sz w:val="24"/>
                <w:szCs w:val="24"/>
                <w:lang w:eastAsia="en-NZ"/>
              </w:rPr>
            </w:pPr>
            <w:r w:rsidRPr="00CD6CA8">
              <w:rPr>
                <w:rFonts w:ascii="Calibri" w:eastAsia="Times New Roman" w:hAnsi="Calibri" w:cs="Times New Roman"/>
                <w:color w:val="000000"/>
                <w:sz w:val="14"/>
                <w:szCs w:val="14"/>
                <w:lang w:eastAsia="en-NZ"/>
              </w:rPr>
              <w:t>High Risk Loss</w:t>
            </w:r>
          </w:p>
        </w:tc>
      </w:tr>
    </w:tbl>
    <w:p w:rsidR="00015EDA" w:rsidRDefault="00015EDA" w:rsidP="00015EDA">
      <w:pPr>
        <w:pStyle w:val="Heading2"/>
        <w:sectPr w:rsidR="00015EDA" w:rsidSect="00015EDA">
          <w:pgSz w:w="16838" w:h="11906" w:orient="landscape"/>
          <w:pgMar w:top="1440" w:right="1440" w:bottom="1440" w:left="1440" w:header="709" w:footer="709" w:gutter="0"/>
          <w:cols w:space="708"/>
          <w:docGrid w:linePitch="360"/>
        </w:sectPr>
      </w:pPr>
    </w:p>
    <w:p w:rsidR="00015EDA" w:rsidRDefault="00015EDA" w:rsidP="00015EDA">
      <w:pPr>
        <w:pStyle w:val="Heading2"/>
        <w:ind w:firstLine="720"/>
      </w:pPr>
      <w:r>
        <w:lastRenderedPageBreak/>
        <w:t>3.2 Liability risks</w:t>
      </w:r>
    </w:p>
    <w:p w:rsidR="00015EDA" w:rsidRDefault="00015EDA" w:rsidP="00015EDA">
      <w:pPr>
        <w:keepNext/>
        <w:jc w:val="center"/>
      </w:pPr>
      <w:r>
        <w:rPr>
          <w:noProof/>
          <w:lang w:eastAsia="en-NZ"/>
        </w:rPr>
        <w:drawing>
          <wp:inline distT="0" distB="0" distL="0" distR="0" wp14:anchorId="7E0CB919" wp14:editId="4925FDE0">
            <wp:extent cx="8781702" cy="41624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939" t="37817" r="21561" b="13729"/>
                    <a:stretch/>
                  </pic:blipFill>
                  <pic:spPr bwMode="auto">
                    <a:xfrm>
                      <a:off x="0" y="0"/>
                      <a:ext cx="8934147" cy="4234682"/>
                    </a:xfrm>
                    <a:prstGeom prst="rect">
                      <a:avLst/>
                    </a:prstGeom>
                    <a:ln>
                      <a:noFill/>
                    </a:ln>
                    <a:extLst>
                      <a:ext uri="{53640926-AAD7-44D8-BBD7-CCE9431645EC}">
                        <a14:shadowObscured xmlns:a14="http://schemas.microsoft.com/office/drawing/2010/main"/>
                      </a:ext>
                    </a:extLst>
                  </pic:spPr>
                </pic:pic>
              </a:graphicData>
            </a:graphic>
          </wp:inline>
        </w:drawing>
      </w:r>
    </w:p>
    <w:p w:rsidR="00015EDA" w:rsidRDefault="00015EDA" w:rsidP="00015EDA">
      <w:pPr>
        <w:pStyle w:val="Caption"/>
        <w:jc w:val="center"/>
      </w:pPr>
      <w:r>
        <w:t xml:space="preserve">Figure </w:t>
      </w:r>
      <w:r w:rsidR="00334476">
        <w:t>1</w:t>
      </w:r>
      <w:r w:rsidR="006566FB">
        <w:fldChar w:fldCharType="begin"/>
      </w:r>
      <w:r w:rsidR="006566FB">
        <w:instrText xml:space="preserve"> SEQ Figure \* ARABIC </w:instrText>
      </w:r>
      <w:r w:rsidR="006566FB">
        <w:fldChar w:fldCharType="separate"/>
      </w:r>
      <w:r>
        <w:rPr>
          <w:noProof/>
        </w:rPr>
        <w:t>2</w:t>
      </w:r>
      <w:r w:rsidR="006566FB">
        <w:rPr>
          <w:noProof/>
        </w:rPr>
        <w:fldChar w:fldCharType="end"/>
      </w:r>
      <w:r>
        <w:t xml:space="preserve">: </w:t>
      </w:r>
      <w:r w:rsidRPr="00E03DD4">
        <w:t>Liability fault tree analysis</w:t>
      </w:r>
    </w:p>
    <w:p w:rsidR="00015EDA" w:rsidRDefault="00015EDA" w:rsidP="00015EDA">
      <w:pPr>
        <w:jc w:val="center"/>
      </w:pPr>
    </w:p>
    <w:p w:rsidR="00015EDA" w:rsidRDefault="00015EDA" w:rsidP="00015EDA">
      <w:pPr>
        <w:pStyle w:val="Heading2"/>
        <w:ind w:firstLine="720"/>
      </w:pPr>
      <w:r>
        <w:lastRenderedPageBreak/>
        <w:t>3.3 Functional Failure risks</w:t>
      </w:r>
    </w:p>
    <w:p w:rsidR="00015EDA" w:rsidRDefault="00015EDA" w:rsidP="00015EDA">
      <w:pPr>
        <w:keepNext/>
        <w:jc w:val="center"/>
      </w:pPr>
      <w:r>
        <w:rPr>
          <w:noProof/>
          <w:lang w:eastAsia="en-NZ"/>
        </w:rPr>
        <w:drawing>
          <wp:inline distT="0" distB="0" distL="0" distR="0" wp14:anchorId="518955B6" wp14:editId="1CAA1111">
            <wp:extent cx="8572500" cy="485282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936" t="31023" r="20231" b="10774"/>
                    <a:stretch/>
                  </pic:blipFill>
                  <pic:spPr bwMode="auto">
                    <a:xfrm>
                      <a:off x="0" y="0"/>
                      <a:ext cx="8626334" cy="4883297"/>
                    </a:xfrm>
                    <a:prstGeom prst="rect">
                      <a:avLst/>
                    </a:prstGeom>
                    <a:ln>
                      <a:noFill/>
                    </a:ln>
                    <a:extLst>
                      <a:ext uri="{53640926-AAD7-44D8-BBD7-CCE9431645EC}">
                        <a14:shadowObscured xmlns:a14="http://schemas.microsoft.com/office/drawing/2010/main"/>
                      </a:ext>
                    </a:extLst>
                  </pic:spPr>
                </pic:pic>
              </a:graphicData>
            </a:graphic>
          </wp:inline>
        </w:drawing>
      </w:r>
    </w:p>
    <w:p w:rsidR="00015EDA" w:rsidRPr="0058757D" w:rsidRDefault="00015EDA" w:rsidP="00015EDA">
      <w:pPr>
        <w:pStyle w:val="Caption"/>
        <w:jc w:val="center"/>
      </w:pPr>
      <w:r>
        <w:t xml:space="preserve">Figure </w:t>
      </w:r>
      <w:r w:rsidR="00334476">
        <w:t>1</w:t>
      </w:r>
      <w:r w:rsidR="006566FB">
        <w:fldChar w:fldCharType="begin"/>
      </w:r>
      <w:r w:rsidR="006566FB">
        <w:instrText xml:space="preserve"> SEQ Figure \* ARABIC </w:instrText>
      </w:r>
      <w:r w:rsidR="006566FB">
        <w:fldChar w:fldCharType="separate"/>
      </w:r>
      <w:r>
        <w:rPr>
          <w:noProof/>
        </w:rPr>
        <w:t>3</w:t>
      </w:r>
      <w:r w:rsidR="006566FB">
        <w:rPr>
          <w:noProof/>
        </w:rPr>
        <w:fldChar w:fldCharType="end"/>
      </w:r>
      <w:r>
        <w:t xml:space="preserve">: </w:t>
      </w:r>
      <w:r w:rsidRPr="008F2D36">
        <w:t>Functional Failure Fault Tree Analysis</w:t>
      </w:r>
    </w:p>
    <w:p w:rsidR="00015EDA" w:rsidRDefault="00015EDA" w:rsidP="00015EDA">
      <w:pPr>
        <w:pStyle w:val="Heading2"/>
      </w:pPr>
    </w:p>
    <w:p w:rsidR="00015EDA" w:rsidRPr="0058757D" w:rsidRDefault="00015EDA" w:rsidP="00015EDA">
      <w:pPr>
        <w:jc w:val="center"/>
        <w:sectPr w:rsidR="00015EDA" w:rsidRPr="0058757D" w:rsidSect="00015EDA">
          <w:pgSz w:w="16838" w:h="11906" w:orient="landscape"/>
          <w:pgMar w:top="1440" w:right="1440" w:bottom="1440" w:left="1440" w:header="709" w:footer="709" w:gutter="0"/>
          <w:cols w:space="708"/>
          <w:docGrid w:linePitch="360"/>
        </w:sectPr>
      </w:pPr>
    </w:p>
    <w:p w:rsidR="00015EDA" w:rsidRDefault="00015EDA" w:rsidP="00015EDA">
      <w:pPr>
        <w:pStyle w:val="Heading2"/>
        <w:ind w:firstLine="720"/>
      </w:pPr>
      <w:r>
        <w:lastRenderedPageBreak/>
        <w:t>3.4 Health and safety risks</w:t>
      </w:r>
    </w:p>
    <w:p w:rsidR="00015EDA" w:rsidRDefault="00015EDA" w:rsidP="00334476">
      <w:pPr>
        <w:pStyle w:val="NormalWeb"/>
        <w:keepNext/>
        <w:spacing w:before="0" w:beforeAutospacing="0" w:after="160" w:afterAutospacing="0"/>
        <w:jc w:val="center"/>
      </w:pPr>
      <w:r>
        <w:rPr>
          <w:noProof/>
        </w:rPr>
        <w:drawing>
          <wp:inline distT="0" distB="0" distL="0" distR="0" wp14:anchorId="435D8CDF" wp14:editId="76F21CBA">
            <wp:extent cx="5238750" cy="49935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246" t="28068" r="30700" b="5751"/>
                    <a:stretch/>
                  </pic:blipFill>
                  <pic:spPr bwMode="auto">
                    <a:xfrm>
                      <a:off x="0" y="0"/>
                      <a:ext cx="5260586" cy="5014346"/>
                    </a:xfrm>
                    <a:prstGeom prst="rect">
                      <a:avLst/>
                    </a:prstGeom>
                    <a:ln>
                      <a:noFill/>
                    </a:ln>
                    <a:extLst>
                      <a:ext uri="{53640926-AAD7-44D8-BBD7-CCE9431645EC}">
                        <a14:shadowObscured xmlns:a14="http://schemas.microsoft.com/office/drawing/2010/main"/>
                      </a:ext>
                    </a:extLst>
                  </pic:spPr>
                </pic:pic>
              </a:graphicData>
            </a:graphic>
          </wp:inline>
        </w:drawing>
      </w:r>
    </w:p>
    <w:p w:rsidR="00015EDA" w:rsidRDefault="00015EDA" w:rsidP="00334476">
      <w:pPr>
        <w:pStyle w:val="Caption"/>
        <w:jc w:val="center"/>
      </w:pPr>
      <w:r>
        <w:t xml:space="preserve">Figure </w:t>
      </w:r>
      <w:r w:rsidR="00334476">
        <w:t>1</w:t>
      </w:r>
      <w:r w:rsidR="006566FB">
        <w:fldChar w:fldCharType="begin"/>
      </w:r>
      <w:r w:rsidR="006566FB">
        <w:instrText xml:space="preserve"> SEQ Figure \* ARABIC </w:instrText>
      </w:r>
      <w:r w:rsidR="006566FB">
        <w:fldChar w:fldCharType="separate"/>
      </w:r>
      <w:r>
        <w:rPr>
          <w:noProof/>
        </w:rPr>
        <w:t>4</w:t>
      </w:r>
      <w:r w:rsidR="006566FB">
        <w:rPr>
          <w:noProof/>
        </w:rPr>
        <w:fldChar w:fldCharType="end"/>
      </w:r>
      <w:r>
        <w:t xml:space="preserve">: </w:t>
      </w:r>
      <w:r w:rsidRPr="00153852">
        <w:t>Health and Safety Fault Tree Analysis</w:t>
      </w:r>
    </w:p>
    <w:p w:rsidR="00015EDA" w:rsidRDefault="00015EDA" w:rsidP="00015EDA">
      <w:pPr>
        <w:pStyle w:val="NormalWeb"/>
        <w:spacing w:before="0" w:beforeAutospacing="0" w:after="160" w:afterAutospacing="0"/>
        <w:jc w:val="center"/>
      </w:pPr>
    </w:p>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Pr>
        <w:pStyle w:val="Heading1"/>
      </w:pPr>
      <w:r>
        <w:lastRenderedPageBreak/>
        <w:t>4. Financial analysis</w:t>
      </w:r>
    </w:p>
    <w:p w:rsidR="00015EDA" w:rsidRPr="006D06D4" w:rsidRDefault="00015EDA" w:rsidP="00015EDA">
      <w:pPr>
        <w:pStyle w:val="Heading2"/>
      </w:pPr>
      <w:r>
        <w:tab/>
        <w:t>4.1 Cash flow analyses</w:t>
      </w:r>
    </w:p>
    <w:p w:rsidR="00015EDA" w:rsidRDefault="00015EDA" w:rsidP="00015EDA">
      <w:pPr>
        <w:jc w:val="both"/>
      </w:pPr>
      <w:r>
        <w:t>Cash flow analyses were conducted for each of the scenarios for optimistic, expected and pessimistic future predictions.</w:t>
      </w:r>
    </w:p>
    <w:p w:rsidR="00015EDA" w:rsidRDefault="00015EDA" w:rsidP="00015EDA">
      <w:pPr>
        <w:keepNext/>
        <w:jc w:val="both"/>
      </w:pPr>
      <w:r>
        <w:rPr>
          <w:noProof/>
          <w:lang w:eastAsia="en-NZ"/>
        </w:rPr>
        <w:drawing>
          <wp:inline distT="0" distB="0" distL="0" distR="0" wp14:anchorId="414503FB" wp14:editId="0FB68A21">
            <wp:extent cx="5731510" cy="3484245"/>
            <wp:effectExtent l="0" t="0" r="2540" b="19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15EDA" w:rsidRDefault="00015EDA" w:rsidP="00015EDA">
      <w:pPr>
        <w:pStyle w:val="Caption"/>
        <w:jc w:val="center"/>
      </w:pPr>
      <w:r>
        <w:t xml:space="preserve">Figure </w:t>
      </w:r>
      <w:r w:rsidR="00334476">
        <w:t>1</w:t>
      </w:r>
      <w:r w:rsidR="006566FB">
        <w:fldChar w:fldCharType="begin"/>
      </w:r>
      <w:r w:rsidR="006566FB">
        <w:instrText xml:space="preserve"> SEQ Figure \* ARABIC </w:instrText>
      </w:r>
      <w:r w:rsidR="006566FB">
        <w:fldChar w:fldCharType="separate"/>
      </w:r>
      <w:r>
        <w:rPr>
          <w:noProof/>
        </w:rPr>
        <w:t>5</w:t>
      </w:r>
      <w:r w:rsidR="006566FB">
        <w:rPr>
          <w:noProof/>
        </w:rPr>
        <w:fldChar w:fldCharType="end"/>
      </w:r>
      <w:r>
        <w:t xml:space="preserve">: </w:t>
      </w:r>
      <w:r w:rsidRPr="00472FBC">
        <w:t>Cash flow for Optimistic Prediction</w:t>
      </w:r>
    </w:p>
    <w:p w:rsidR="00015EDA" w:rsidRDefault="00015EDA" w:rsidP="00015EDA">
      <w:pPr>
        <w:keepNext/>
        <w:jc w:val="center"/>
      </w:pPr>
      <w:r>
        <w:rPr>
          <w:noProof/>
          <w:lang w:eastAsia="en-NZ"/>
        </w:rPr>
        <w:drawing>
          <wp:inline distT="0" distB="0" distL="0" distR="0" wp14:anchorId="68DDD493" wp14:editId="2130FB46">
            <wp:extent cx="5610225" cy="347662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15EDA" w:rsidRPr="00C0697C" w:rsidRDefault="00015EDA" w:rsidP="00015EDA">
      <w:pPr>
        <w:pStyle w:val="Caption"/>
        <w:jc w:val="center"/>
      </w:pPr>
      <w:r>
        <w:t xml:space="preserve">Figure </w:t>
      </w:r>
      <w:r w:rsidR="00334476">
        <w:t>1</w:t>
      </w:r>
      <w:r w:rsidR="006566FB">
        <w:fldChar w:fldCharType="begin"/>
      </w:r>
      <w:r w:rsidR="006566FB">
        <w:instrText xml:space="preserve"> SEQ Figure \* ARABIC </w:instrText>
      </w:r>
      <w:r w:rsidR="006566FB">
        <w:fldChar w:fldCharType="separate"/>
      </w:r>
      <w:r>
        <w:rPr>
          <w:noProof/>
        </w:rPr>
        <w:t>6</w:t>
      </w:r>
      <w:r w:rsidR="006566FB">
        <w:rPr>
          <w:noProof/>
        </w:rPr>
        <w:fldChar w:fldCharType="end"/>
      </w:r>
      <w:r>
        <w:t xml:space="preserve">: </w:t>
      </w:r>
      <w:r w:rsidRPr="00C0697C">
        <w:t>Cash flow for Expected Case</w:t>
      </w:r>
    </w:p>
    <w:p w:rsidR="00015EDA" w:rsidRDefault="00015EDA" w:rsidP="00015EDA">
      <w:pPr>
        <w:pStyle w:val="Caption"/>
        <w:jc w:val="center"/>
      </w:pPr>
    </w:p>
    <w:p w:rsidR="00015EDA" w:rsidRDefault="00015EDA" w:rsidP="00015EDA">
      <w:pPr>
        <w:keepNext/>
        <w:jc w:val="center"/>
      </w:pPr>
      <w:r>
        <w:rPr>
          <w:noProof/>
          <w:lang w:eastAsia="en-NZ"/>
        </w:rPr>
        <w:lastRenderedPageBreak/>
        <w:drawing>
          <wp:inline distT="0" distB="0" distL="0" distR="0" wp14:anchorId="6F24672C" wp14:editId="6296EC68">
            <wp:extent cx="5476875" cy="319087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15EDA" w:rsidRDefault="00015EDA" w:rsidP="00015EDA">
      <w:pPr>
        <w:pStyle w:val="Caption"/>
        <w:jc w:val="center"/>
      </w:pPr>
      <w:r>
        <w:t xml:space="preserve">Figure </w:t>
      </w:r>
      <w:r w:rsidR="00334476">
        <w:t>1</w:t>
      </w:r>
      <w:r w:rsidR="006566FB">
        <w:fldChar w:fldCharType="begin"/>
      </w:r>
      <w:r w:rsidR="006566FB">
        <w:instrText xml:space="preserve"> SEQ Figure \* ARABIC </w:instrText>
      </w:r>
      <w:r w:rsidR="006566FB">
        <w:fldChar w:fldCharType="separate"/>
      </w:r>
      <w:r>
        <w:rPr>
          <w:noProof/>
        </w:rPr>
        <w:t>7</w:t>
      </w:r>
      <w:r w:rsidR="006566FB">
        <w:rPr>
          <w:noProof/>
        </w:rPr>
        <w:fldChar w:fldCharType="end"/>
      </w:r>
      <w:r>
        <w:t xml:space="preserve">: </w:t>
      </w:r>
      <w:r w:rsidRPr="00F27F3C">
        <w:t>Cash flow for Pessimistic Case</w:t>
      </w:r>
    </w:p>
    <w:p w:rsidR="00015EDA" w:rsidRDefault="00015EDA" w:rsidP="00015EDA">
      <w:pPr>
        <w:pStyle w:val="Heading2"/>
        <w:ind w:firstLine="720"/>
      </w:pPr>
      <w:r>
        <w:t>4</w:t>
      </w:r>
      <w:r w:rsidRPr="006D06D4">
        <w:t>.2 Equipment costs</w:t>
      </w:r>
    </w:p>
    <w:p w:rsidR="006D26C9" w:rsidRDefault="006D26C9" w:rsidP="006D26C9">
      <w:pPr>
        <w:pStyle w:val="Caption"/>
        <w:jc w:val="center"/>
      </w:pPr>
      <w:r>
        <w:t>Table 6: Equipment cost for Bio processor</w:t>
      </w:r>
    </w:p>
    <w:tbl>
      <w:tblPr>
        <w:tblStyle w:val="TableGrid"/>
        <w:tblW w:w="0" w:type="auto"/>
        <w:tblLook w:val="04A0" w:firstRow="1" w:lastRow="0" w:firstColumn="1" w:lastColumn="0" w:noHBand="0" w:noVBand="1"/>
      </w:tblPr>
      <w:tblGrid>
        <w:gridCol w:w="4508"/>
        <w:gridCol w:w="4508"/>
      </w:tblGrid>
      <w:tr w:rsidR="00015EDA" w:rsidTr="00015EDA">
        <w:tc>
          <w:tcPr>
            <w:tcW w:w="4508" w:type="dxa"/>
          </w:tcPr>
          <w:p w:rsidR="00015EDA" w:rsidRPr="007332CC" w:rsidRDefault="00015EDA" w:rsidP="00015EDA">
            <w:pPr>
              <w:jc w:val="center"/>
              <w:rPr>
                <w:b/>
              </w:rPr>
            </w:pPr>
            <w:r w:rsidRPr="007332CC">
              <w:rPr>
                <w:b/>
              </w:rPr>
              <w:t>Item</w:t>
            </w:r>
          </w:p>
        </w:tc>
        <w:tc>
          <w:tcPr>
            <w:tcW w:w="4508" w:type="dxa"/>
          </w:tcPr>
          <w:p w:rsidR="00015EDA" w:rsidRPr="007332CC" w:rsidRDefault="00015EDA" w:rsidP="00015EDA">
            <w:pPr>
              <w:jc w:val="center"/>
              <w:rPr>
                <w:b/>
              </w:rPr>
            </w:pPr>
            <w:r w:rsidRPr="007332CC">
              <w:rPr>
                <w:b/>
              </w:rPr>
              <w:t>Cost</w:t>
            </w:r>
          </w:p>
        </w:tc>
      </w:tr>
      <w:tr w:rsidR="00015EDA" w:rsidTr="00015EDA">
        <w:tc>
          <w:tcPr>
            <w:tcW w:w="4508" w:type="dxa"/>
          </w:tcPr>
          <w:p w:rsidR="00015EDA" w:rsidRDefault="00015EDA" w:rsidP="00015EDA">
            <w:pPr>
              <w:jc w:val="center"/>
            </w:pPr>
            <w:r>
              <w:t>Total pipe cost (10km)</w:t>
            </w:r>
          </w:p>
        </w:tc>
        <w:tc>
          <w:tcPr>
            <w:tcW w:w="4508" w:type="dxa"/>
          </w:tcPr>
          <w:p w:rsidR="00015EDA" w:rsidRDefault="00015EDA" w:rsidP="00015EDA">
            <w:pPr>
              <w:jc w:val="center"/>
            </w:pPr>
            <w:r>
              <w:t>$8,505</w:t>
            </w:r>
          </w:p>
        </w:tc>
      </w:tr>
      <w:tr w:rsidR="00015EDA" w:rsidTr="00015EDA">
        <w:tc>
          <w:tcPr>
            <w:tcW w:w="4508" w:type="dxa"/>
          </w:tcPr>
          <w:p w:rsidR="00015EDA" w:rsidRDefault="00015EDA" w:rsidP="00015EDA">
            <w:pPr>
              <w:jc w:val="center"/>
            </w:pPr>
            <w:r>
              <w:t>Installation cost</w:t>
            </w:r>
          </w:p>
        </w:tc>
        <w:tc>
          <w:tcPr>
            <w:tcW w:w="4508" w:type="dxa"/>
          </w:tcPr>
          <w:p w:rsidR="00015EDA" w:rsidRDefault="00015EDA" w:rsidP="00015EDA">
            <w:pPr>
              <w:jc w:val="center"/>
            </w:pPr>
            <w:r>
              <w:t>$8,505</w:t>
            </w:r>
          </w:p>
        </w:tc>
      </w:tr>
      <w:tr w:rsidR="00015EDA" w:rsidTr="00015EDA">
        <w:tc>
          <w:tcPr>
            <w:tcW w:w="4508" w:type="dxa"/>
          </w:tcPr>
          <w:p w:rsidR="00015EDA" w:rsidRPr="007332CC" w:rsidRDefault="00015EDA" w:rsidP="00015EDA">
            <w:pPr>
              <w:jc w:val="center"/>
              <w:rPr>
                <w:b/>
              </w:rPr>
            </w:pPr>
            <w:r w:rsidRPr="007332CC">
              <w:rPr>
                <w:b/>
              </w:rPr>
              <w:t>Bio-processor equipment</w:t>
            </w:r>
          </w:p>
        </w:tc>
        <w:tc>
          <w:tcPr>
            <w:tcW w:w="4508" w:type="dxa"/>
          </w:tcPr>
          <w:p w:rsidR="00015EDA" w:rsidRPr="007332CC" w:rsidRDefault="00015EDA" w:rsidP="00015EDA">
            <w:pPr>
              <w:jc w:val="center"/>
              <w:rPr>
                <w:b/>
              </w:rPr>
            </w:pPr>
            <w:r w:rsidRPr="007332CC">
              <w:rPr>
                <w:b/>
              </w:rPr>
              <w:t>$96,000</w:t>
            </w:r>
          </w:p>
        </w:tc>
      </w:tr>
      <w:tr w:rsidR="00015EDA" w:rsidTr="00015EDA">
        <w:tc>
          <w:tcPr>
            <w:tcW w:w="4508" w:type="dxa"/>
          </w:tcPr>
          <w:p w:rsidR="00015EDA" w:rsidRDefault="00015EDA" w:rsidP="00015EDA">
            <w:pPr>
              <w:jc w:val="center"/>
            </w:pPr>
            <w:r>
              <w:t>Foundation</w:t>
            </w:r>
          </w:p>
        </w:tc>
        <w:tc>
          <w:tcPr>
            <w:tcW w:w="4508" w:type="dxa"/>
          </w:tcPr>
          <w:p w:rsidR="00015EDA" w:rsidRDefault="00015EDA" w:rsidP="00015EDA">
            <w:pPr>
              <w:jc w:val="center"/>
            </w:pPr>
            <w:r>
              <w:t>$12,040</w:t>
            </w:r>
          </w:p>
        </w:tc>
      </w:tr>
      <w:tr w:rsidR="00015EDA" w:rsidTr="00015EDA">
        <w:tc>
          <w:tcPr>
            <w:tcW w:w="4508" w:type="dxa"/>
          </w:tcPr>
          <w:p w:rsidR="00015EDA" w:rsidRDefault="00015EDA" w:rsidP="00015EDA">
            <w:pPr>
              <w:jc w:val="center"/>
            </w:pPr>
            <w:r>
              <w:t>Digester</w:t>
            </w:r>
          </w:p>
        </w:tc>
        <w:tc>
          <w:tcPr>
            <w:tcW w:w="4508" w:type="dxa"/>
          </w:tcPr>
          <w:p w:rsidR="00015EDA" w:rsidRDefault="00015EDA" w:rsidP="00015EDA">
            <w:pPr>
              <w:jc w:val="center"/>
            </w:pPr>
            <w:r>
              <w:t>$22,152</w:t>
            </w:r>
          </w:p>
        </w:tc>
      </w:tr>
      <w:tr w:rsidR="00015EDA" w:rsidTr="00015EDA">
        <w:tc>
          <w:tcPr>
            <w:tcW w:w="4508" w:type="dxa"/>
          </w:tcPr>
          <w:p w:rsidR="00015EDA" w:rsidRDefault="00015EDA" w:rsidP="00015EDA">
            <w:pPr>
              <w:jc w:val="center"/>
            </w:pPr>
            <w:r>
              <w:t>Roof</w:t>
            </w:r>
          </w:p>
        </w:tc>
        <w:tc>
          <w:tcPr>
            <w:tcW w:w="4508" w:type="dxa"/>
          </w:tcPr>
          <w:p w:rsidR="00015EDA" w:rsidRDefault="00015EDA" w:rsidP="00015EDA">
            <w:pPr>
              <w:jc w:val="center"/>
            </w:pPr>
            <w:r>
              <w:t>$7,223</w:t>
            </w:r>
          </w:p>
        </w:tc>
      </w:tr>
      <w:tr w:rsidR="00015EDA" w:rsidTr="00015EDA">
        <w:tc>
          <w:tcPr>
            <w:tcW w:w="4508" w:type="dxa"/>
          </w:tcPr>
          <w:p w:rsidR="00015EDA" w:rsidRDefault="00015EDA" w:rsidP="00015EDA">
            <w:pPr>
              <w:jc w:val="center"/>
            </w:pPr>
            <w:r>
              <w:t>Gas pump</w:t>
            </w:r>
          </w:p>
        </w:tc>
        <w:tc>
          <w:tcPr>
            <w:tcW w:w="4508" w:type="dxa"/>
          </w:tcPr>
          <w:p w:rsidR="00015EDA" w:rsidRDefault="00015EDA" w:rsidP="00015EDA">
            <w:pPr>
              <w:jc w:val="center"/>
            </w:pPr>
            <w:r>
              <w:t>$3,371</w:t>
            </w:r>
          </w:p>
        </w:tc>
      </w:tr>
      <w:tr w:rsidR="00015EDA" w:rsidTr="00015EDA">
        <w:tc>
          <w:tcPr>
            <w:tcW w:w="4508" w:type="dxa"/>
          </w:tcPr>
          <w:p w:rsidR="00015EDA" w:rsidRDefault="00015EDA" w:rsidP="00015EDA">
            <w:pPr>
              <w:jc w:val="center"/>
            </w:pPr>
            <w:r>
              <w:t>Boiler</w:t>
            </w:r>
          </w:p>
        </w:tc>
        <w:tc>
          <w:tcPr>
            <w:tcW w:w="4508" w:type="dxa"/>
          </w:tcPr>
          <w:p w:rsidR="00015EDA" w:rsidRDefault="00015EDA" w:rsidP="00015EDA">
            <w:pPr>
              <w:jc w:val="center"/>
            </w:pPr>
            <w:r>
              <w:t>$2,889</w:t>
            </w:r>
          </w:p>
        </w:tc>
      </w:tr>
      <w:tr w:rsidR="00015EDA" w:rsidTr="00015EDA">
        <w:tc>
          <w:tcPr>
            <w:tcW w:w="4508" w:type="dxa"/>
          </w:tcPr>
          <w:p w:rsidR="00015EDA" w:rsidRDefault="00015EDA" w:rsidP="00015EDA">
            <w:pPr>
              <w:jc w:val="center"/>
            </w:pPr>
            <w:r>
              <w:t>Hydra-ram manure pump</w:t>
            </w:r>
          </w:p>
        </w:tc>
        <w:tc>
          <w:tcPr>
            <w:tcW w:w="4508" w:type="dxa"/>
          </w:tcPr>
          <w:p w:rsidR="00015EDA" w:rsidRDefault="00015EDA" w:rsidP="00015EDA">
            <w:pPr>
              <w:jc w:val="center"/>
            </w:pPr>
            <w:r>
              <w:t>$23,600</w:t>
            </w:r>
          </w:p>
        </w:tc>
      </w:tr>
      <w:tr w:rsidR="00015EDA" w:rsidTr="00015EDA">
        <w:tc>
          <w:tcPr>
            <w:tcW w:w="4508" w:type="dxa"/>
          </w:tcPr>
          <w:p w:rsidR="00015EDA" w:rsidRDefault="00015EDA" w:rsidP="00015EDA">
            <w:pPr>
              <w:jc w:val="center"/>
            </w:pPr>
            <w:r>
              <w:t xml:space="preserve">Supplies </w:t>
            </w:r>
          </w:p>
        </w:tc>
        <w:tc>
          <w:tcPr>
            <w:tcW w:w="4508" w:type="dxa"/>
          </w:tcPr>
          <w:p w:rsidR="00015EDA" w:rsidRDefault="00015EDA" w:rsidP="00015EDA">
            <w:pPr>
              <w:jc w:val="center"/>
            </w:pPr>
            <w:r>
              <w:t>$15,900</w:t>
            </w:r>
          </w:p>
        </w:tc>
      </w:tr>
      <w:tr w:rsidR="00015EDA" w:rsidTr="00015EDA">
        <w:tc>
          <w:tcPr>
            <w:tcW w:w="4508" w:type="dxa"/>
          </w:tcPr>
          <w:p w:rsidR="00015EDA" w:rsidRDefault="00015EDA" w:rsidP="00015EDA">
            <w:pPr>
              <w:jc w:val="center"/>
            </w:pPr>
            <w:r>
              <w:t>100 m^3 methanol storage tanks</w:t>
            </w:r>
          </w:p>
        </w:tc>
        <w:tc>
          <w:tcPr>
            <w:tcW w:w="4508" w:type="dxa"/>
          </w:tcPr>
          <w:p w:rsidR="00015EDA" w:rsidRDefault="00015EDA" w:rsidP="00015EDA">
            <w:pPr>
              <w:jc w:val="center"/>
            </w:pPr>
            <w:r>
              <w:t>$5,000</w:t>
            </w:r>
          </w:p>
        </w:tc>
      </w:tr>
      <w:tr w:rsidR="00015EDA" w:rsidTr="00015EDA">
        <w:tc>
          <w:tcPr>
            <w:tcW w:w="4508" w:type="dxa"/>
          </w:tcPr>
          <w:p w:rsidR="00015EDA" w:rsidRDefault="00015EDA" w:rsidP="00015EDA">
            <w:pPr>
              <w:jc w:val="center"/>
            </w:pPr>
            <w:r>
              <w:t>Methanol Plant set-up</w:t>
            </w:r>
          </w:p>
        </w:tc>
        <w:tc>
          <w:tcPr>
            <w:tcW w:w="4508" w:type="dxa"/>
          </w:tcPr>
          <w:p w:rsidR="00015EDA" w:rsidRDefault="00015EDA" w:rsidP="00015EDA">
            <w:pPr>
              <w:keepNext/>
              <w:jc w:val="center"/>
            </w:pPr>
            <w:r>
              <w:t>$50,000</w:t>
            </w:r>
          </w:p>
        </w:tc>
      </w:tr>
    </w:tbl>
    <w:p w:rsidR="00015EDA" w:rsidRDefault="00015EDA" w:rsidP="00015EDA">
      <w:pPr>
        <w:pStyle w:val="Heading2"/>
        <w:ind w:firstLine="720"/>
      </w:pPr>
      <w:r>
        <w:t>4.3 Potential cost reductions to the farmer</w:t>
      </w:r>
    </w:p>
    <w:p w:rsidR="00015EDA" w:rsidRDefault="00015EDA" w:rsidP="00015EDA">
      <w:pPr>
        <w:pStyle w:val="Caption"/>
        <w:keepNext/>
        <w:jc w:val="center"/>
      </w:pPr>
      <w:r>
        <w:t xml:space="preserve">Table </w:t>
      </w:r>
      <w:r w:rsidR="006D26C9">
        <w:t>7</w:t>
      </w:r>
      <w:r>
        <w:t xml:space="preserve">: Cost of fertiliser </w:t>
      </w:r>
      <w:r w:rsidRPr="002449C5">
        <w:t>[2]</w:t>
      </w:r>
    </w:p>
    <w:tbl>
      <w:tblPr>
        <w:tblStyle w:val="TableGrid"/>
        <w:tblW w:w="0" w:type="auto"/>
        <w:tblLook w:val="04A0" w:firstRow="1" w:lastRow="0" w:firstColumn="1" w:lastColumn="0" w:noHBand="0" w:noVBand="1"/>
      </w:tblPr>
      <w:tblGrid>
        <w:gridCol w:w="4508"/>
        <w:gridCol w:w="4508"/>
      </w:tblGrid>
      <w:tr w:rsidR="00015EDA" w:rsidTr="00015EDA">
        <w:tc>
          <w:tcPr>
            <w:tcW w:w="4508" w:type="dxa"/>
          </w:tcPr>
          <w:p w:rsidR="00015EDA" w:rsidRPr="007332CC" w:rsidRDefault="00015EDA" w:rsidP="00015EDA">
            <w:pPr>
              <w:jc w:val="center"/>
              <w:rPr>
                <w:b/>
              </w:rPr>
            </w:pPr>
            <w:r w:rsidRPr="007332CC">
              <w:rPr>
                <w:b/>
              </w:rPr>
              <w:t>Item</w:t>
            </w:r>
          </w:p>
        </w:tc>
        <w:tc>
          <w:tcPr>
            <w:tcW w:w="4508" w:type="dxa"/>
          </w:tcPr>
          <w:p w:rsidR="00015EDA" w:rsidRPr="007332CC" w:rsidRDefault="00015EDA" w:rsidP="00015EDA">
            <w:pPr>
              <w:jc w:val="center"/>
              <w:rPr>
                <w:b/>
              </w:rPr>
            </w:pPr>
            <w:r w:rsidRPr="007332CC">
              <w:rPr>
                <w:b/>
              </w:rPr>
              <w:t>Cost</w:t>
            </w:r>
          </w:p>
        </w:tc>
      </w:tr>
      <w:tr w:rsidR="00015EDA" w:rsidTr="00015EDA">
        <w:tc>
          <w:tcPr>
            <w:tcW w:w="4508" w:type="dxa"/>
          </w:tcPr>
          <w:p w:rsidR="00015EDA" w:rsidRDefault="00015EDA" w:rsidP="00015EDA">
            <w:pPr>
              <w:jc w:val="center"/>
            </w:pPr>
            <w:r>
              <w:t>Fertiliser cost saved (Urea)</w:t>
            </w:r>
          </w:p>
        </w:tc>
        <w:tc>
          <w:tcPr>
            <w:tcW w:w="4508" w:type="dxa"/>
          </w:tcPr>
          <w:p w:rsidR="00015EDA" w:rsidRDefault="00015EDA" w:rsidP="00015EDA">
            <w:pPr>
              <w:jc w:val="center"/>
            </w:pPr>
            <w:r>
              <w:t>$5,275 per annum</w:t>
            </w:r>
          </w:p>
        </w:tc>
      </w:tr>
    </w:tbl>
    <w:p w:rsidR="00015EDA" w:rsidRPr="00C0697C" w:rsidRDefault="00015EDA" w:rsidP="00015EDA"/>
    <w:p w:rsidR="00015EDA" w:rsidRDefault="00015EDA" w:rsidP="00015EDA">
      <w:pPr>
        <w:pStyle w:val="Heading2"/>
        <w:ind w:firstLine="720"/>
      </w:pPr>
      <w:r>
        <w:t>4.4 Unconsidered costs</w:t>
      </w:r>
    </w:p>
    <w:p w:rsidR="00015EDA" w:rsidRDefault="00015EDA" w:rsidP="00015EDA">
      <w:pPr>
        <w:jc w:val="both"/>
      </w:pPr>
      <w:r>
        <w:t>Other costs that have not been considered within the cash flow analysis of the company include the cost of land that the plants are situated on. Land hire costs have also not been considered for the case when farmers refuse to provide space for bio-processors on their own land for free. If the venture is still deemed to be unattractive to the farmer then a small percentage of the annual revenue of the plant will have to be attributed to paying the farmer for the use of their land.</w:t>
      </w:r>
    </w:p>
    <w:p w:rsidR="00015EDA" w:rsidRDefault="00015EDA" w:rsidP="00015EDA">
      <w:pPr>
        <w:pStyle w:val="Heading1"/>
      </w:pPr>
      <w:r>
        <w:lastRenderedPageBreak/>
        <w:t>5. Route to market</w:t>
      </w:r>
    </w:p>
    <w:p w:rsidR="00015EDA" w:rsidRDefault="00015EDA" w:rsidP="00015EDA">
      <w:pPr>
        <w:pStyle w:val="Heading2"/>
        <w:ind w:firstLine="720"/>
      </w:pPr>
      <w:r>
        <w:t>5.1 Patent literature</w:t>
      </w:r>
    </w:p>
    <w:p w:rsidR="00015EDA" w:rsidRPr="0057133E" w:rsidRDefault="00015EDA" w:rsidP="00015EDA">
      <w:pPr>
        <w:shd w:val="clear" w:color="auto" w:fill="FFFFFF"/>
        <w:spacing w:after="40" w:line="240" w:lineRule="auto"/>
        <w:ind w:left="1440"/>
        <w:rPr>
          <w:rFonts w:eastAsia="Times New Roman" w:cs="Arial"/>
          <w:b/>
          <w:bCs/>
          <w:color w:val="222222"/>
          <w:lang w:eastAsia="en-NZ"/>
        </w:rPr>
      </w:pPr>
      <w:r w:rsidRPr="0057133E">
        <w:t xml:space="preserve">1. </w:t>
      </w:r>
      <w:r w:rsidRPr="0057133E">
        <w:rPr>
          <w:rFonts w:eastAsia="Times New Roman" w:cs="Arial"/>
          <w:b/>
          <w:bCs/>
          <w:color w:val="222222"/>
          <w:lang w:eastAsia="en-NZ"/>
        </w:rPr>
        <w:t>Oxidation of methane to methanol </w:t>
      </w:r>
      <w:r w:rsidRPr="0057133E">
        <w:rPr>
          <w:rFonts w:eastAsia="Times New Roman" w:cs="Arial"/>
          <w:b/>
          <w:bCs/>
          <w:color w:val="222222"/>
          <w:lang w:eastAsia="en-NZ"/>
        </w:rPr>
        <w:br/>
      </w:r>
      <w:r w:rsidRPr="0057133E">
        <w:rPr>
          <w:rFonts w:eastAsia="Times New Roman" w:cs="Arial"/>
          <w:b/>
          <w:bCs/>
          <w:color w:val="999999"/>
          <w:lang w:eastAsia="en-NZ"/>
        </w:rPr>
        <w:t>US 4982023 A</w:t>
      </w:r>
    </w:p>
    <w:p w:rsidR="00015EDA" w:rsidRPr="00D91E4F" w:rsidRDefault="00015EDA" w:rsidP="00015EDA">
      <w:pPr>
        <w:shd w:val="clear" w:color="auto" w:fill="FFFFFF"/>
        <w:spacing w:after="40" w:line="240" w:lineRule="auto"/>
        <w:jc w:val="both"/>
        <w:rPr>
          <w:rFonts w:eastAsia="Times New Roman" w:cs="Arial"/>
          <w:color w:val="333333"/>
          <w:lang w:eastAsia="en-NZ"/>
        </w:rPr>
      </w:pPr>
      <w:r w:rsidRPr="0057133E">
        <w:rPr>
          <w:rFonts w:eastAsia="Times New Roman" w:cs="Arial"/>
          <w:b/>
          <w:bCs/>
          <w:caps/>
          <w:color w:val="454545"/>
          <w:lang w:eastAsia="en-NZ"/>
        </w:rPr>
        <w:t>ABSTRACT</w:t>
      </w:r>
    </w:p>
    <w:p w:rsidR="00015EDA" w:rsidRPr="0057133E" w:rsidRDefault="00015EDA" w:rsidP="00015EDA">
      <w:pPr>
        <w:shd w:val="clear" w:color="auto" w:fill="FFFFFF"/>
        <w:spacing w:after="40" w:line="240" w:lineRule="auto"/>
        <w:jc w:val="both"/>
        <w:rPr>
          <w:rFonts w:eastAsia="Times New Roman" w:cs="Arial"/>
          <w:color w:val="222222"/>
          <w:lang w:eastAsia="en-NZ"/>
        </w:rPr>
      </w:pPr>
      <w:r w:rsidRPr="00D91E4F">
        <w:rPr>
          <w:rFonts w:eastAsia="Times New Roman" w:cs="Arial"/>
          <w:color w:val="222222"/>
          <w:lang w:eastAsia="en-NZ"/>
        </w:rPr>
        <w:t>A marked improvement in yield, in selectivity or in both is obtained in the synthesis of methanol by the homogeneous direct partial oxidation of natural gas or other source of methane when the reactor space is filled with inert, refractory inorganic particles.</w:t>
      </w:r>
    </w:p>
    <w:p w:rsidR="00015EDA" w:rsidRPr="0057133E" w:rsidRDefault="00015EDA" w:rsidP="00015EDA">
      <w:pPr>
        <w:shd w:val="clear" w:color="auto" w:fill="FFFFFF"/>
        <w:spacing w:after="40" w:line="240" w:lineRule="auto"/>
        <w:jc w:val="both"/>
        <w:rPr>
          <w:rFonts w:eastAsia="Times New Roman" w:cs="Arial"/>
          <w:color w:val="222222"/>
          <w:lang w:eastAsia="en-NZ"/>
        </w:rPr>
      </w:pPr>
      <w:r w:rsidRPr="0057133E">
        <w:rPr>
          <w:rFonts w:eastAsia="Times New Roman" w:cs="Arial"/>
          <w:color w:val="222222"/>
          <w:lang w:eastAsia="en-NZ"/>
        </w:rPr>
        <w:t>Status: Lapsed</w:t>
      </w:r>
    </w:p>
    <w:p w:rsidR="00015EDA" w:rsidRPr="00D91E4F" w:rsidRDefault="00015EDA" w:rsidP="00015EDA">
      <w:pPr>
        <w:shd w:val="clear" w:color="auto" w:fill="FFFFFF"/>
        <w:spacing w:after="40" w:line="240" w:lineRule="auto"/>
        <w:jc w:val="both"/>
        <w:rPr>
          <w:rFonts w:eastAsia="Times New Roman" w:cs="Arial"/>
          <w:color w:val="222222"/>
          <w:lang w:eastAsia="en-NZ"/>
        </w:rPr>
      </w:pPr>
      <w:r w:rsidRPr="0057133E">
        <w:rPr>
          <w:rFonts w:eastAsia="Times New Roman" w:cs="Arial"/>
          <w:color w:val="222222"/>
          <w:lang w:eastAsia="en-NZ"/>
        </w:rPr>
        <w:t>Assignee: Mobil Oil Corporation</w:t>
      </w:r>
    </w:p>
    <w:p w:rsidR="00015EDA" w:rsidRPr="0057133E" w:rsidRDefault="00015EDA" w:rsidP="00015EDA">
      <w:pPr>
        <w:shd w:val="clear" w:color="auto" w:fill="FFFFFF"/>
        <w:spacing w:after="40" w:line="240" w:lineRule="auto"/>
        <w:ind w:left="1440"/>
        <w:rPr>
          <w:rFonts w:eastAsia="Times New Roman" w:cs="Arial"/>
          <w:b/>
          <w:bCs/>
          <w:color w:val="222222"/>
          <w:lang w:eastAsia="en-NZ"/>
        </w:rPr>
      </w:pPr>
      <w:r w:rsidRPr="0057133E">
        <w:t xml:space="preserve">2. </w:t>
      </w:r>
      <w:r w:rsidRPr="0057133E">
        <w:rPr>
          <w:rFonts w:eastAsia="Times New Roman" w:cs="Arial"/>
          <w:b/>
          <w:bCs/>
          <w:color w:val="222222"/>
          <w:lang w:eastAsia="en-NZ"/>
        </w:rPr>
        <w:t>Direct conversion of natural gas to methanol by controlled oxidation </w:t>
      </w:r>
      <w:r w:rsidRPr="0057133E">
        <w:rPr>
          <w:rFonts w:eastAsia="Times New Roman" w:cs="Arial"/>
          <w:b/>
          <w:bCs/>
          <w:color w:val="222222"/>
          <w:lang w:eastAsia="en-NZ"/>
        </w:rPr>
        <w:br/>
      </w:r>
      <w:r w:rsidRPr="0057133E">
        <w:rPr>
          <w:rFonts w:eastAsia="Times New Roman" w:cs="Arial"/>
          <w:b/>
          <w:bCs/>
          <w:color w:val="999999"/>
          <w:lang w:eastAsia="en-NZ"/>
        </w:rPr>
        <w:t>US 4618732 A</w:t>
      </w:r>
    </w:p>
    <w:p w:rsidR="00015EDA" w:rsidRPr="00D91E4F" w:rsidRDefault="00015EDA" w:rsidP="00015EDA">
      <w:pPr>
        <w:shd w:val="clear" w:color="auto" w:fill="FFFFFF"/>
        <w:spacing w:after="40" w:line="240" w:lineRule="auto"/>
        <w:jc w:val="both"/>
        <w:rPr>
          <w:rFonts w:eastAsia="Times New Roman" w:cs="Arial"/>
          <w:color w:val="333333"/>
          <w:lang w:eastAsia="en-NZ"/>
        </w:rPr>
      </w:pPr>
      <w:r w:rsidRPr="0057133E">
        <w:rPr>
          <w:rFonts w:eastAsia="Times New Roman" w:cs="Arial"/>
          <w:b/>
          <w:bCs/>
          <w:caps/>
          <w:color w:val="454545"/>
          <w:lang w:eastAsia="en-NZ"/>
        </w:rPr>
        <w:t>ABSTRACT</w:t>
      </w:r>
    </w:p>
    <w:p w:rsidR="00015EDA" w:rsidRPr="0057133E" w:rsidRDefault="00015EDA" w:rsidP="00015EDA">
      <w:pPr>
        <w:shd w:val="clear" w:color="auto" w:fill="FFFFFF"/>
        <w:spacing w:after="40" w:line="240" w:lineRule="auto"/>
        <w:jc w:val="both"/>
        <w:rPr>
          <w:rFonts w:eastAsia="Times New Roman" w:cs="Arial"/>
          <w:color w:val="222222"/>
          <w:lang w:eastAsia="en-NZ"/>
        </w:rPr>
      </w:pPr>
      <w:r w:rsidRPr="00D91E4F">
        <w:rPr>
          <w:rFonts w:eastAsia="Times New Roman" w:cs="Arial"/>
          <w:color w:val="222222"/>
          <w:lang w:eastAsia="en-NZ"/>
        </w:rPr>
        <w:t>A process of directly converting natural gas to methanol employs controlled oxidation. The reaction takes place in an inert reactor, i.e. one having internal surfaces which do not affect the reaction, in the absence of a catalyst. The natural gas is intimately mixed with air or oxygen prior to introduction of the mixed gases into the reactor. Reaction takes place at an elevated temperature of 300° to 500° C. and at an elevated pressure of 10 to 100 atmospheres. The percentage of oxygen in the mixture of reactant gases is kept below 20% by volume and is preferably 2 to 10% by volume. Apparatus for carrying out the method is also provided.</w:t>
      </w:r>
    </w:p>
    <w:p w:rsidR="00015EDA" w:rsidRPr="0057133E" w:rsidRDefault="00015EDA" w:rsidP="00015EDA">
      <w:pPr>
        <w:shd w:val="clear" w:color="auto" w:fill="FFFFFF"/>
        <w:spacing w:after="40" w:line="240" w:lineRule="auto"/>
        <w:jc w:val="both"/>
        <w:rPr>
          <w:rFonts w:eastAsia="Times New Roman" w:cs="Arial"/>
          <w:color w:val="222222"/>
          <w:lang w:eastAsia="en-NZ"/>
        </w:rPr>
      </w:pPr>
      <w:r w:rsidRPr="0057133E">
        <w:rPr>
          <w:rFonts w:eastAsia="Times New Roman" w:cs="Arial"/>
          <w:color w:val="222222"/>
          <w:lang w:eastAsia="en-NZ"/>
        </w:rPr>
        <w:t>Status: Lapsed</w:t>
      </w:r>
    </w:p>
    <w:p w:rsidR="00015EDA" w:rsidRPr="00D91E4F" w:rsidRDefault="00015EDA" w:rsidP="00015EDA">
      <w:pPr>
        <w:shd w:val="clear" w:color="auto" w:fill="FFFFFF"/>
        <w:spacing w:after="40" w:line="240" w:lineRule="auto"/>
        <w:jc w:val="both"/>
        <w:rPr>
          <w:rFonts w:eastAsia="Times New Roman" w:cs="Arial"/>
          <w:color w:val="222222"/>
          <w:lang w:eastAsia="en-NZ"/>
        </w:rPr>
      </w:pPr>
      <w:r w:rsidRPr="0057133E">
        <w:rPr>
          <w:rFonts w:eastAsia="Times New Roman" w:cs="Arial"/>
          <w:color w:val="222222"/>
          <w:lang w:eastAsia="en-NZ"/>
        </w:rPr>
        <w:t xml:space="preserve">Assignee: </w:t>
      </w:r>
      <w:hyperlink r:id="rId35" w:history="1">
        <w:proofErr w:type="spellStart"/>
        <w:r w:rsidRPr="000F5B21">
          <w:rPr>
            <w:rFonts w:eastAsia="Times New Roman" w:cs="Arial"/>
            <w:lang w:eastAsia="en-NZ"/>
          </w:rPr>
          <w:t>Gesser</w:t>
        </w:r>
        <w:proofErr w:type="spellEnd"/>
        <w:r w:rsidRPr="000F5B21">
          <w:rPr>
            <w:rFonts w:eastAsia="Times New Roman" w:cs="Arial"/>
            <w:lang w:eastAsia="en-NZ"/>
          </w:rPr>
          <w:t xml:space="preserve"> Hyman D</w:t>
        </w:r>
      </w:hyperlink>
      <w:r w:rsidRPr="000F5B21">
        <w:rPr>
          <w:rFonts w:eastAsia="Times New Roman" w:cs="Arial"/>
          <w:lang w:eastAsia="en-NZ"/>
        </w:rPr>
        <w:t>, </w:t>
      </w:r>
      <w:hyperlink r:id="rId36" w:history="1">
        <w:r w:rsidRPr="000F5B21">
          <w:rPr>
            <w:rFonts w:eastAsia="Times New Roman" w:cs="Arial"/>
            <w:lang w:eastAsia="en-NZ"/>
          </w:rPr>
          <w:t xml:space="preserve">Hunter Norman </w:t>
        </w:r>
        <w:proofErr w:type="spellStart"/>
        <w:r w:rsidRPr="000F5B21">
          <w:rPr>
            <w:rFonts w:eastAsia="Times New Roman" w:cs="Arial"/>
            <w:lang w:eastAsia="en-NZ"/>
          </w:rPr>
          <w:t>R</w:t>
        </w:r>
      </w:hyperlink>
      <w:r w:rsidRPr="000F5B21">
        <w:rPr>
          <w:rFonts w:eastAsia="Times New Roman" w:cs="Arial"/>
          <w:lang w:eastAsia="en-NZ"/>
        </w:rPr>
        <w:t>,</w:t>
      </w:r>
      <w:hyperlink r:id="rId37" w:history="1">
        <w:r w:rsidRPr="000F5B21">
          <w:rPr>
            <w:rFonts w:eastAsia="Times New Roman" w:cs="Arial"/>
            <w:lang w:eastAsia="en-NZ"/>
          </w:rPr>
          <w:t>Lawrence</w:t>
        </w:r>
        <w:proofErr w:type="spellEnd"/>
        <w:r w:rsidRPr="000F5B21">
          <w:rPr>
            <w:rFonts w:eastAsia="Times New Roman" w:cs="Arial"/>
            <w:lang w:eastAsia="en-NZ"/>
          </w:rPr>
          <w:t xml:space="preserve"> Morton</w:t>
        </w:r>
      </w:hyperlink>
    </w:p>
    <w:p w:rsidR="00015EDA" w:rsidRPr="0057133E" w:rsidRDefault="00015EDA" w:rsidP="00015EDA">
      <w:pPr>
        <w:shd w:val="clear" w:color="auto" w:fill="FFFFFF"/>
        <w:spacing w:after="40" w:line="240" w:lineRule="auto"/>
        <w:ind w:left="1440"/>
        <w:rPr>
          <w:rFonts w:eastAsia="Times New Roman" w:cs="Arial"/>
          <w:b/>
          <w:bCs/>
          <w:color w:val="222222"/>
          <w:lang w:eastAsia="en-NZ"/>
        </w:rPr>
      </w:pPr>
      <w:r w:rsidRPr="0057133E">
        <w:t xml:space="preserve">3. </w:t>
      </w:r>
      <w:r w:rsidRPr="0057133E">
        <w:rPr>
          <w:rFonts w:eastAsia="Times New Roman" w:cs="Arial"/>
          <w:b/>
          <w:bCs/>
          <w:color w:val="222222"/>
          <w:lang w:eastAsia="en-NZ"/>
        </w:rPr>
        <w:t>Method and system for methanol production </w:t>
      </w:r>
      <w:r w:rsidRPr="0057133E">
        <w:rPr>
          <w:rFonts w:eastAsia="Times New Roman" w:cs="Arial"/>
          <w:b/>
          <w:bCs/>
          <w:color w:val="222222"/>
          <w:lang w:eastAsia="en-NZ"/>
        </w:rPr>
        <w:br/>
      </w:r>
      <w:r w:rsidRPr="0057133E">
        <w:rPr>
          <w:rFonts w:eastAsia="Times New Roman" w:cs="Arial"/>
          <w:b/>
          <w:bCs/>
          <w:color w:val="999999"/>
          <w:lang w:eastAsia="en-NZ"/>
        </w:rPr>
        <w:t>US 7910787 B2</w:t>
      </w:r>
    </w:p>
    <w:p w:rsidR="00015EDA" w:rsidRPr="00D91E4F" w:rsidRDefault="00015EDA" w:rsidP="00015EDA">
      <w:pPr>
        <w:shd w:val="clear" w:color="auto" w:fill="FFFFFF"/>
        <w:spacing w:after="40" w:line="240" w:lineRule="auto"/>
        <w:jc w:val="both"/>
        <w:rPr>
          <w:rFonts w:eastAsia="Times New Roman" w:cs="Arial"/>
          <w:color w:val="333333"/>
          <w:lang w:eastAsia="en-NZ"/>
        </w:rPr>
      </w:pPr>
      <w:r w:rsidRPr="0057133E">
        <w:rPr>
          <w:rFonts w:eastAsia="Times New Roman" w:cs="Arial"/>
          <w:b/>
          <w:bCs/>
          <w:caps/>
          <w:color w:val="454545"/>
          <w:lang w:eastAsia="en-NZ"/>
        </w:rPr>
        <w:t>ABSTRACT</w:t>
      </w:r>
    </w:p>
    <w:p w:rsidR="00015EDA" w:rsidRPr="0057133E" w:rsidRDefault="00015EDA" w:rsidP="00015EDA">
      <w:pPr>
        <w:shd w:val="clear" w:color="auto" w:fill="FFFFFF"/>
        <w:spacing w:after="40" w:line="240" w:lineRule="auto"/>
        <w:jc w:val="both"/>
        <w:rPr>
          <w:rFonts w:eastAsia="Times New Roman" w:cs="Arial"/>
          <w:color w:val="222222"/>
          <w:lang w:eastAsia="en-NZ"/>
        </w:rPr>
      </w:pPr>
      <w:r w:rsidRPr="00D91E4F">
        <w:rPr>
          <w:rFonts w:eastAsia="Times New Roman" w:cs="Arial"/>
          <w:color w:val="222222"/>
          <w:lang w:eastAsia="en-NZ"/>
        </w:rPr>
        <w:t>An apparatus and method of producing methanol includes reacting a heated hydrocarbon-containing gas and an oxygen-containing gas in a reactor; to provide a product stream comprising methanol; and transferring heat from the product stream to the hydrocarbon-containing gas to heat the hydrocarbon containing gas. After removing methanol and CO</w:t>
      </w:r>
      <w:r w:rsidRPr="00D91E4F">
        <w:rPr>
          <w:rFonts w:eastAsia="Times New Roman" w:cs="Arial"/>
          <w:color w:val="222222"/>
          <w:vertAlign w:val="subscript"/>
          <w:lang w:eastAsia="en-NZ"/>
        </w:rPr>
        <w:t>2</w:t>
      </w:r>
      <w:r w:rsidRPr="0057133E">
        <w:rPr>
          <w:rFonts w:eastAsia="Times New Roman" w:cs="Arial"/>
          <w:color w:val="222222"/>
          <w:vertAlign w:val="subscript"/>
          <w:lang w:eastAsia="en-NZ"/>
        </w:rPr>
        <w:t> </w:t>
      </w:r>
      <w:r w:rsidRPr="00D91E4F">
        <w:rPr>
          <w:rFonts w:eastAsia="Times New Roman" w:cs="Arial"/>
          <w:color w:val="222222"/>
          <w:lang w:eastAsia="en-NZ"/>
        </w:rPr>
        <w:t xml:space="preserve">from the product stream, unprocessed hydrocarbons are mixed with the hydrocarbon containing gas for reprocessing through the reactor. Reactor </w:t>
      </w:r>
      <w:proofErr w:type="spellStart"/>
      <w:r w:rsidRPr="00D91E4F">
        <w:rPr>
          <w:rFonts w:eastAsia="Times New Roman" w:cs="Arial"/>
          <w:color w:val="222222"/>
          <w:lang w:eastAsia="en-NZ"/>
        </w:rPr>
        <w:t>byproducts</w:t>
      </w:r>
      <w:proofErr w:type="spellEnd"/>
      <w:r w:rsidRPr="00D91E4F">
        <w:rPr>
          <w:rFonts w:eastAsia="Times New Roman" w:cs="Arial"/>
          <w:color w:val="222222"/>
          <w:lang w:eastAsia="en-NZ"/>
        </w:rPr>
        <w:t xml:space="preserve"> are injected into the ground to increase the output of a hydrocarbon producing well.</w:t>
      </w:r>
    </w:p>
    <w:p w:rsidR="00015EDA" w:rsidRPr="0057133E" w:rsidRDefault="00015EDA" w:rsidP="00015EDA">
      <w:pPr>
        <w:shd w:val="clear" w:color="auto" w:fill="FFFFFF"/>
        <w:spacing w:after="40" w:line="240" w:lineRule="auto"/>
        <w:jc w:val="both"/>
        <w:rPr>
          <w:rFonts w:eastAsia="Times New Roman" w:cs="Arial"/>
          <w:color w:val="222222"/>
          <w:lang w:eastAsia="en-NZ"/>
        </w:rPr>
      </w:pPr>
      <w:r w:rsidRPr="0057133E">
        <w:rPr>
          <w:rFonts w:eastAsia="Times New Roman" w:cs="Arial"/>
          <w:color w:val="222222"/>
          <w:lang w:eastAsia="en-NZ"/>
        </w:rPr>
        <w:t>Status: Active</w:t>
      </w:r>
    </w:p>
    <w:p w:rsidR="00015EDA" w:rsidRPr="00D91E4F" w:rsidRDefault="00015EDA" w:rsidP="00015EDA">
      <w:pPr>
        <w:shd w:val="clear" w:color="auto" w:fill="FFFFFF"/>
        <w:spacing w:after="40" w:line="240" w:lineRule="auto"/>
        <w:jc w:val="both"/>
        <w:rPr>
          <w:rFonts w:eastAsia="Times New Roman" w:cs="Arial"/>
          <w:color w:val="222222"/>
          <w:lang w:eastAsia="en-NZ"/>
        </w:rPr>
      </w:pPr>
      <w:r w:rsidRPr="0057133E">
        <w:rPr>
          <w:rFonts w:eastAsia="Times New Roman" w:cs="Arial"/>
          <w:color w:val="222222"/>
          <w:lang w:eastAsia="en-NZ"/>
        </w:rPr>
        <w:t xml:space="preserve">Assignee: </w:t>
      </w:r>
      <w:hyperlink r:id="rId38" w:history="1">
        <w:r w:rsidRPr="000F5B21">
          <w:rPr>
            <w:rFonts w:eastAsia="Times New Roman" w:cs="Arial"/>
            <w:lang w:eastAsia="en-NZ"/>
          </w:rPr>
          <w:t xml:space="preserve">Gas Technologies </w:t>
        </w:r>
        <w:proofErr w:type="spellStart"/>
        <w:r w:rsidRPr="000F5B21">
          <w:rPr>
            <w:rFonts w:eastAsia="Times New Roman" w:cs="Arial"/>
            <w:lang w:eastAsia="en-NZ"/>
          </w:rPr>
          <w:t>Llc</w:t>
        </w:r>
        <w:proofErr w:type="spellEnd"/>
      </w:hyperlink>
    </w:p>
    <w:p w:rsidR="00015EDA" w:rsidRPr="0057133E" w:rsidRDefault="00015EDA" w:rsidP="00015EDA">
      <w:pPr>
        <w:shd w:val="clear" w:color="auto" w:fill="FFFFFF"/>
        <w:spacing w:after="40" w:line="240" w:lineRule="auto"/>
        <w:ind w:left="1440"/>
        <w:rPr>
          <w:rFonts w:eastAsia="Times New Roman" w:cs="Arial"/>
          <w:b/>
          <w:bCs/>
          <w:color w:val="222222"/>
          <w:lang w:eastAsia="en-NZ"/>
        </w:rPr>
      </w:pPr>
      <w:r w:rsidRPr="0057133E">
        <w:t xml:space="preserve">4. </w:t>
      </w:r>
      <w:r w:rsidRPr="0057133E">
        <w:rPr>
          <w:rFonts w:eastAsia="Times New Roman" w:cs="Arial"/>
          <w:b/>
          <w:bCs/>
          <w:color w:val="222222"/>
          <w:lang w:eastAsia="en-NZ"/>
        </w:rPr>
        <w:t>Method and apparatus for producing methanol </w:t>
      </w:r>
      <w:r w:rsidRPr="0057133E">
        <w:rPr>
          <w:rFonts w:eastAsia="Times New Roman" w:cs="Arial"/>
          <w:b/>
          <w:bCs/>
          <w:color w:val="222222"/>
          <w:lang w:eastAsia="en-NZ"/>
        </w:rPr>
        <w:br/>
      </w:r>
      <w:r w:rsidRPr="0057133E">
        <w:rPr>
          <w:rFonts w:eastAsia="Times New Roman" w:cs="Arial"/>
          <w:b/>
          <w:bCs/>
          <w:color w:val="999999"/>
          <w:lang w:eastAsia="en-NZ"/>
        </w:rPr>
        <w:t>US 8293186 B2</w:t>
      </w:r>
    </w:p>
    <w:p w:rsidR="00015EDA" w:rsidRPr="00D91E4F" w:rsidRDefault="00015EDA" w:rsidP="00015EDA">
      <w:pPr>
        <w:shd w:val="clear" w:color="auto" w:fill="FFFFFF"/>
        <w:spacing w:after="40" w:line="240" w:lineRule="auto"/>
        <w:jc w:val="both"/>
        <w:rPr>
          <w:rFonts w:eastAsia="Times New Roman" w:cs="Arial"/>
          <w:color w:val="333333"/>
          <w:lang w:eastAsia="en-NZ"/>
        </w:rPr>
      </w:pPr>
      <w:r w:rsidRPr="0057133E">
        <w:rPr>
          <w:rFonts w:eastAsia="Times New Roman" w:cs="Arial"/>
          <w:b/>
          <w:bCs/>
          <w:caps/>
          <w:color w:val="454545"/>
          <w:lang w:eastAsia="en-NZ"/>
        </w:rPr>
        <w:t>ABSTRACT</w:t>
      </w:r>
    </w:p>
    <w:p w:rsidR="00015EDA" w:rsidRPr="0057133E" w:rsidRDefault="00015EDA" w:rsidP="00015EDA">
      <w:pPr>
        <w:shd w:val="clear" w:color="auto" w:fill="FFFFFF"/>
        <w:spacing w:after="40" w:line="240" w:lineRule="auto"/>
        <w:jc w:val="both"/>
        <w:rPr>
          <w:rFonts w:eastAsia="Times New Roman" w:cs="Arial"/>
          <w:color w:val="222222"/>
          <w:lang w:eastAsia="en-NZ"/>
        </w:rPr>
      </w:pPr>
      <w:r w:rsidRPr="00D91E4F">
        <w:rPr>
          <w:rFonts w:eastAsia="Times New Roman" w:cs="Arial"/>
          <w:color w:val="222222"/>
          <w:lang w:eastAsia="en-NZ"/>
        </w:rPr>
        <w:t>An apparatus and method of producing methanol includes reacting a heated hydrocarbon-containing gas and an oxygen-containing gas in a reactor; to provide a product stream comprising methanol; and transferring heat from the product stream to the hydrocarbon-containing gas to heat the hydrocarbon containing gas. After removing methanol and CO</w:t>
      </w:r>
      <w:r w:rsidRPr="00D91E4F">
        <w:rPr>
          <w:rFonts w:eastAsia="Times New Roman" w:cs="Arial"/>
          <w:color w:val="222222"/>
          <w:vertAlign w:val="subscript"/>
          <w:lang w:eastAsia="en-NZ"/>
        </w:rPr>
        <w:t>2</w:t>
      </w:r>
      <w:r w:rsidRPr="0057133E">
        <w:rPr>
          <w:rFonts w:eastAsia="Times New Roman" w:cs="Arial"/>
          <w:color w:val="222222"/>
          <w:vertAlign w:val="subscript"/>
          <w:lang w:eastAsia="en-NZ"/>
        </w:rPr>
        <w:t> </w:t>
      </w:r>
      <w:r w:rsidRPr="00D91E4F">
        <w:rPr>
          <w:rFonts w:eastAsia="Times New Roman" w:cs="Arial"/>
          <w:color w:val="222222"/>
          <w:lang w:eastAsia="en-NZ"/>
        </w:rPr>
        <w:t>from the product stream, unprocessed hydrocarbons are mixed with t</w:t>
      </w:r>
      <w:r w:rsidRPr="0057133E">
        <w:rPr>
          <w:rFonts w:eastAsia="Times New Roman" w:cs="Arial"/>
          <w:color w:val="222222"/>
          <w:lang w:eastAsia="en-NZ"/>
        </w:rPr>
        <w:t>he hydrocarbon containing gas f</w:t>
      </w:r>
      <w:r w:rsidRPr="00D91E4F">
        <w:rPr>
          <w:rFonts w:eastAsia="Times New Roman" w:cs="Arial"/>
          <w:color w:val="222222"/>
          <w:lang w:eastAsia="en-NZ"/>
        </w:rPr>
        <w:t>o</w:t>
      </w:r>
      <w:r w:rsidRPr="0057133E">
        <w:rPr>
          <w:rFonts w:eastAsia="Times New Roman" w:cs="Arial"/>
          <w:color w:val="222222"/>
          <w:lang w:eastAsia="en-NZ"/>
        </w:rPr>
        <w:t>r</w:t>
      </w:r>
      <w:r w:rsidRPr="00D91E4F">
        <w:rPr>
          <w:rFonts w:eastAsia="Times New Roman" w:cs="Arial"/>
          <w:color w:val="222222"/>
          <w:lang w:eastAsia="en-NZ"/>
        </w:rPr>
        <w:t xml:space="preserve"> reprocessing through the reactor.</w:t>
      </w:r>
    </w:p>
    <w:p w:rsidR="00015EDA" w:rsidRPr="0057133E" w:rsidRDefault="00015EDA" w:rsidP="00015EDA">
      <w:pPr>
        <w:shd w:val="clear" w:color="auto" w:fill="FFFFFF"/>
        <w:spacing w:after="40" w:line="240" w:lineRule="auto"/>
        <w:jc w:val="both"/>
        <w:rPr>
          <w:rFonts w:eastAsia="Times New Roman" w:cs="Arial"/>
          <w:color w:val="222222"/>
          <w:lang w:eastAsia="en-NZ"/>
        </w:rPr>
      </w:pPr>
      <w:r w:rsidRPr="0057133E">
        <w:rPr>
          <w:rFonts w:eastAsia="Times New Roman" w:cs="Arial"/>
          <w:color w:val="222222"/>
          <w:lang w:eastAsia="en-NZ"/>
        </w:rPr>
        <w:t>Status: Active</w:t>
      </w:r>
    </w:p>
    <w:p w:rsidR="00015EDA" w:rsidRPr="00D91E4F" w:rsidRDefault="00015EDA" w:rsidP="00015EDA">
      <w:pPr>
        <w:shd w:val="clear" w:color="auto" w:fill="FFFFFF"/>
        <w:spacing w:after="40" w:line="240" w:lineRule="auto"/>
        <w:jc w:val="both"/>
        <w:rPr>
          <w:rFonts w:eastAsia="Times New Roman" w:cs="Arial"/>
          <w:color w:val="222222"/>
          <w:lang w:eastAsia="en-NZ"/>
        </w:rPr>
      </w:pPr>
      <w:r w:rsidRPr="0057133E">
        <w:rPr>
          <w:rFonts w:eastAsia="Times New Roman" w:cs="Arial"/>
          <w:color w:val="222222"/>
          <w:lang w:eastAsia="en-NZ"/>
        </w:rPr>
        <w:t xml:space="preserve">Assignee: </w:t>
      </w:r>
      <w:hyperlink r:id="rId39" w:history="1">
        <w:r w:rsidRPr="000F5B21">
          <w:rPr>
            <w:rFonts w:eastAsia="Times New Roman" w:cs="Arial"/>
            <w:lang w:eastAsia="en-NZ"/>
          </w:rPr>
          <w:t xml:space="preserve">Gas Technologies </w:t>
        </w:r>
        <w:proofErr w:type="spellStart"/>
        <w:r w:rsidRPr="000F5B21">
          <w:rPr>
            <w:rFonts w:eastAsia="Times New Roman" w:cs="Arial"/>
            <w:lang w:eastAsia="en-NZ"/>
          </w:rPr>
          <w:t>Llc</w:t>
        </w:r>
        <w:proofErr w:type="spellEnd"/>
      </w:hyperlink>
    </w:p>
    <w:p w:rsidR="00015EDA" w:rsidRPr="0057133E" w:rsidRDefault="00015EDA" w:rsidP="00015EDA">
      <w:pPr>
        <w:shd w:val="clear" w:color="auto" w:fill="FFFFFF"/>
        <w:spacing w:after="40" w:line="240" w:lineRule="auto"/>
        <w:ind w:left="1440"/>
        <w:rPr>
          <w:rFonts w:eastAsia="Times New Roman" w:cs="Arial"/>
          <w:b/>
          <w:bCs/>
          <w:color w:val="222222"/>
          <w:lang w:eastAsia="en-NZ"/>
        </w:rPr>
      </w:pPr>
      <w:r w:rsidRPr="0057133E">
        <w:t xml:space="preserve">5. </w:t>
      </w:r>
      <w:r w:rsidRPr="0057133E">
        <w:rPr>
          <w:rFonts w:eastAsia="Times New Roman" w:cs="Arial"/>
          <w:b/>
          <w:bCs/>
          <w:color w:val="222222"/>
          <w:lang w:eastAsia="en-NZ"/>
        </w:rPr>
        <w:t>Hybrid system for Gasification of Biomass and conversion to synthesis gas suitable for fuel synthesis, with 3 potential applications </w:t>
      </w:r>
      <w:r w:rsidRPr="0057133E">
        <w:rPr>
          <w:rFonts w:eastAsia="Times New Roman" w:cs="Arial"/>
          <w:b/>
          <w:bCs/>
          <w:color w:val="222222"/>
          <w:lang w:eastAsia="en-NZ"/>
        </w:rPr>
        <w:br/>
      </w:r>
      <w:r w:rsidRPr="0057133E">
        <w:rPr>
          <w:rFonts w:eastAsia="Times New Roman" w:cs="Arial"/>
          <w:b/>
          <w:bCs/>
          <w:color w:val="999999"/>
          <w:lang w:eastAsia="en-NZ"/>
        </w:rPr>
        <w:t>US 20070100003 A1</w:t>
      </w:r>
    </w:p>
    <w:p w:rsidR="00015EDA" w:rsidRPr="00D91E4F" w:rsidRDefault="00015EDA" w:rsidP="00015EDA">
      <w:pPr>
        <w:shd w:val="clear" w:color="auto" w:fill="FFFFFF"/>
        <w:spacing w:after="40" w:line="240" w:lineRule="auto"/>
        <w:jc w:val="both"/>
        <w:rPr>
          <w:rFonts w:eastAsia="Times New Roman" w:cs="Arial"/>
          <w:color w:val="333333"/>
          <w:lang w:eastAsia="en-NZ"/>
        </w:rPr>
      </w:pPr>
      <w:r w:rsidRPr="0057133E">
        <w:rPr>
          <w:rFonts w:eastAsia="Times New Roman" w:cs="Arial"/>
          <w:b/>
          <w:bCs/>
          <w:caps/>
          <w:color w:val="454545"/>
          <w:lang w:eastAsia="en-NZ"/>
        </w:rPr>
        <w:lastRenderedPageBreak/>
        <w:t>ABSTRACT</w:t>
      </w:r>
    </w:p>
    <w:p w:rsidR="00015EDA" w:rsidRPr="0057133E" w:rsidRDefault="00015EDA" w:rsidP="00015EDA">
      <w:pPr>
        <w:shd w:val="clear" w:color="auto" w:fill="FFFFFF"/>
        <w:spacing w:after="40" w:line="240" w:lineRule="auto"/>
        <w:jc w:val="both"/>
        <w:rPr>
          <w:rFonts w:eastAsia="Times New Roman" w:cs="Arial"/>
          <w:color w:val="222222"/>
          <w:lang w:eastAsia="en-NZ"/>
        </w:rPr>
      </w:pPr>
      <w:r w:rsidRPr="00D91E4F">
        <w:rPr>
          <w:rFonts w:eastAsia="Times New Roman" w:cs="Arial"/>
          <w:color w:val="222222"/>
          <w:lang w:eastAsia="en-NZ"/>
        </w:rPr>
        <w:t xml:space="preserve">Technical challenges of biomass-to-fuels conversion prompted the development of this hybrid system for biomass gasification. In this device, the matter is first pyrolyzed and the resulting </w:t>
      </w:r>
      <w:proofErr w:type="spellStart"/>
      <w:r w:rsidRPr="00D91E4F">
        <w:rPr>
          <w:rFonts w:eastAsia="Times New Roman" w:cs="Arial"/>
          <w:color w:val="222222"/>
          <w:lang w:eastAsia="en-NZ"/>
        </w:rPr>
        <w:t>vapors</w:t>
      </w:r>
      <w:proofErr w:type="spellEnd"/>
      <w:r w:rsidRPr="00D91E4F">
        <w:rPr>
          <w:rFonts w:eastAsia="Times New Roman" w:cs="Arial"/>
          <w:color w:val="222222"/>
          <w:lang w:eastAsia="en-NZ"/>
        </w:rPr>
        <w:t xml:space="preserve"> are drawn off and run through the char and tar in the second stage with the process steam in a supercritical steam gasification. The resulting gases are then purified by use of an amine wash scrubber. An adiabatic pre-reformer is then employed to break down aromatic compounds that most likely exist in the gas even after steam gasification. This gas is then fed to the main steam reformer, and afterwards the gas is cooled to suitable reaction temperatures for fuel synthesis. With a ratio H/C of 2.0, the gas is suitable for Fischer-</w:t>
      </w:r>
      <w:proofErr w:type="spellStart"/>
      <w:r w:rsidRPr="00D91E4F">
        <w:rPr>
          <w:rFonts w:eastAsia="Times New Roman" w:cs="Arial"/>
          <w:color w:val="222222"/>
          <w:lang w:eastAsia="en-NZ"/>
        </w:rPr>
        <w:t>Tropsch</w:t>
      </w:r>
      <w:proofErr w:type="spellEnd"/>
      <w:r w:rsidRPr="00D91E4F">
        <w:rPr>
          <w:rFonts w:eastAsia="Times New Roman" w:cs="Arial"/>
          <w:color w:val="222222"/>
          <w:lang w:eastAsia="en-NZ"/>
        </w:rPr>
        <w:t xml:space="preserve"> fuel synthesis, methanol synthesis, or production of hydrogen and carbon dioxide by a water-gas shift.</w:t>
      </w:r>
    </w:p>
    <w:p w:rsidR="00015EDA" w:rsidRPr="0057133E" w:rsidRDefault="00015EDA" w:rsidP="00015EDA">
      <w:pPr>
        <w:shd w:val="clear" w:color="auto" w:fill="FFFFFF"/>
        <w:spacing w:after="40" w:line="240" w:lineRule="auto"/>
        <w:jc w:val="both"/>
        <w:rPr>
          <w:rFonts w:eastAsia="Times New Roman" w:cs="Arial"/>
          <w:color w:val="222222"/>
          <w:lang w:eastAsia="en-NZ"/>
        </w:rPr>
      </w:pPr>
      <w:r w:rsidRPr="0057133E">
        <w:rPr>
          <w:rFonts w:eastAsia="Times New Roman" w:cs="Arial"/>
          <w:color w:val="222222"/>
          <w:lang w:eastAsia="en-NZ"/>
        </w:rPr>
        <w:t>Status: Active</w:t>
      </w:r>
    </w:p>
    <w:p w:rsidR="00015EDA" w:rsidRPr="000F5B21" w:rsidRDefault="00015EDA" w:rsidP="00015EDA">
      <w:pPr>
        <w:shd w:val="clear" w:color="auto" w:fill="FFFFFF"/>
        <w:spacing w:after="40" w:line="240" w:lineRule="auto"/>
        <w:jc w:val="both"/>
        <w:rPr>
          <w:rFonts w:eastAsia="Times New Roman" w:cs="Arial"/>
          <w:lang w:eastAsia="en-NZ"/>
        </w:rPr>
      </w:pPr>
      <w:r w:rsidRPr="0057133E">
        <w:rPr>
          <w:rFonts w:eastAsia="Times New Roman" w:cs="Arial"/>
          <w:color w:val="222222"/>
          <w:lang w:eastAsia="en-NZ"/>
        </w:rPr>
        <w:t xml:space="preserve">Assignee: </w:t>
      </w:r>
      <w:hyperlink r:id="rId40" w:history="1">
        <w:r w:rsidRPr="000F5B21">
          <w:rPr>
            <w:rFonts w:eastAsia="Times New Roman" w:cs="Arial"/>
            <w:lang w:eastAsia="en-NZ"/>
          </w:rPr>
          <w:t>Holley James L</w:t>
        </w:r>
      </w:hyperlink>
      <w:r w:rsidRPr="000F5B21">
        <w:rPr>
          <w:rFonts w:eastAsia="Times New Roman" w:cs="Arial"/>
          <w:lang w:eastAsia="en-NZ"/>
        </w:rPr>
        <w:t>, </w:t>
      </w:r>
      <w:hyperlink r:id="rId41" w:history="1">
        <w:r w:rsidRPr="000F5B21">
          <w:rPr>
            <w:rFonts w:eastAsia="Times New Roman" w:cs="Arial"/>
            <w:lang w:eastAsia="en-NZ"/>
          </w:rPr>
          <w:t>Harris Aubrey L</w:t>
        </w:r>
      </w:hyperlink>
    </w:p>
    <w:p w:rsidR="00015EDA" w:rsidRDefault="00015EDA" w:rsidP="00015EDA">
      <w:pPr>
        <w:shd w:val="clear" w:color="auto" w:fill="FFFFFF"/>
        <w:spacing w:after="40" w:line="240" w:lineRule="auto"/>
        <w:jc w:val="both"/>
      </w:pPr>
    </w:p>
    <w:p w:rsidR="00015EDA" w:rsidRPr="0057133E" w:rsidRDefault="00015EDA" w:rsidP="00015EDA">
      <w:pPr>
        <w:shd w:val="clear" w:color="auto" w:fill="FFFFFF"/>
        <w:spacing w:after="40" w:line="240" w:lineRule="auto"/>
        <w:jc w:val="both"/>
      </w:pPr>
      <w:r w:rsidRPr="0057133E">
        <w:t>The following patented technology has the potential to alter and improve the process of producing methanol from methane and could be worthwhile for Methanex to investigate and potentially invest in a license to use the technology.</w:t>
      </w:r>
    </w:p>
    <w:p w:rsidR="00015EDA" w:rsidRPr="0057133E" w:rsidRDefault="00015EDA" w:rsidP="00015EDA">
      <w:pPr>
        <w:shd w:val="clear" w:color="auto" w:fill="FFFFFF"/>
        <w:spacing w:after="40" w:line="240" w:lineRule="auto"/>
        <w:ind w:left="1440"/>
        <w:rPr>
          <w:rFonts w:eastAsia="Times New Roman" w:cs="Arial"/>
          <w:b/>
          <w:bCs/>
          <w:color w:val="222222"/>
          <w:lang w:eastAsia="en-NZ"/>
        </w:rPr>
      </w:pPr>
      <w:r w:rsidRPr="0057133E">
        <w:t xml:space="preserve">6. </w:t>
      </w:r>
      <w:r w:rsidRPr="0057133E">
        <w:rPr>
          <w:rFonts w:eastAsia="Times New Roman" w:cs="Arial"/>
          <w:b/>
          <w:bCs/>
          <w:color w:val="222222"/>
          <w:lang w:eastAsia="en-NZ"/>
        </w:rPr>
        <w:t>Anhydrous conversion of methane and other light alkanes into </w:t>
      </w:r>
      <w:r w:rsidRPr="0057133E">
        <w:rPr>
          <w:rFonts w:eastAsia="Times New Roman" w:cs="Arial"/>
          <w:b/>
          <w:bCs/>
          <w:color w:val="222222"/>
          <w:shd w:val="clear" w:color="auto" w:fill="FFFFCC"/>
          <w:lang w:eastAsia="en-NZ"/>
        </w:rPr>
        <w:t>methanol</w:t>
      </w:r>
      <w:r w:rsidRPr="0057133E">
        <w:rPr>
          <w:rFonts w:eastAsia="Times New Roman" w:cs="Arial"/>
          <w:b/>
          <w:bCs/>
          <w:color w:val="222222"/>
          <w:lang w:eastAsia="en-NZ"/>
        </w:rPr>
        <w:t> and other derivatives, using radical pathways and chain reactions with minimal waste products </w:t>
      </w:r>
      <w:r w:rsidRPr="0057133E">
        <w:rPr>
          <w:rFonts w:eastAsia="Times New Roman" w:cs="Arial"/>
          <w:b/>
          <w:bCs/>
          <w:color w:val="222222"/>
          <w:lang w:eastAsia="en-NZ"/>
        </w:rPr>
        <w:br/>
      </w:r>
      <w:r w:rsidRPr="0057133E">
        <w:rPr>
          <w:rFonts w:eastAsia="Times New Roman" w:cs="Arial"/>
          <w:b/>
          <w:bCs/>
          <w:color w:val="999999"/>
          <w:lang w:eastAsia="en-NZ"/>
        </w:rPr>
        <w:t>WO 2004041399 A2</w:t>
      </w:r>
    </w:p>
    <w:p w:rsidR="00015EDA" w:rsidRPr="00D91E4F" w:rsidRDefault="00015EDA" w:rsidP="00015EDA">
      <w:pPr>
        <w:shd w:val="clear" w:color="auto" w:fill="FFFFFF"/>
        <w:spacing w:after="40" w:line="240" w:lineRule="auto"/>
        <w:jc w:val="both"/>
        <w:rPr>
          <w:rFonts w:eastAsia="Times New Roman" w:cs="Arial"/>
          <w:color w:val="333333"/>
          <w:lang w:eastAsia="en-NZ"/>
        </w:rPr>
      </w:pPr>
      <w:r w:rsidRPr="0057133E">
        <w:rPr>
          <w:rFonts w:eastAsia="Times New Roman" w:cs="Arial"/>
          <w:b/>
          <w:bCs/>
          <w:caps/>
          <w:color w:val="454545"/>
          <w:lang w:eastAsia="en-NZ"/>
        </w:rPr>
        <w:t>ABSTRACT</w:t>
      </w:r>
    </w:p>
    <w:p w:rsidR="00015EDA" w:rsidRPr="0057133E" w:rsidRDefault="00015EDA" w:rsidP="00015EDA">
      <w:pPr>
        <w:shd w:val="clear" w:color="auto" w:fill="FFFFFF"/>
        <w:spacing w:after="40" w:line="240" w:lineRule="auto"/>
        <w:jc w:val="both"/>
        <w:rPr>
          <w:rFonts w:eastAsia="Times New Roman" w:cs="Arial"/>
          <w:color w:val="222222"/>
          <w:lang w:eastAsia="en-NZ"/>
        </w:rPr>
      </w:pPr>
      <w:r w:rsidRPr="00D91E4F">
        <w:rPr>
          <w:rFonts w:eastAsia="Times New Roman" w:cs="Arial"/>
          <w:color w:val="222222"/>
          <w:lang w:eastAsia="en-NZ"/>
        </w:rPr>
        <w:t>Reagents and methods with low thermodynamic barriers can convert lower alkanes such as methane into</w:t>
      </w:r>
      <w:r w:rsidRPr="0057133E">
        <w:rPr>
          <w:rFonts w:eastAsia="Times New Roman" w:cs="Arial"/>
          <w:color w:val="222222"/>
          <w:lang w:eastAsia="en-NZ"/>
        </w:rPr>
        <w:t> </w:t>
      </w:r>
      <w:r w:rsidRPr="0057133E">
        <w:rPr>
          <w:rFonts w:eastAsia="Times New Roman" w:cs="Arial"/>
          <w:color w:val="222222"/>
          <w:shd w:val="clear" w:color="auto" w:fill="FFFFCC"/>
          <w:lang w:eastAsia="en-NZ"/>
        </w:rPr>
        <w:t>methanol</w:t>
      </w:r>
      <w:r w:rsidRPr="0057133E">
        <w:rPr>
          <w:rFonts w:eastAsia="Times New Roman" w:cs="Arial"/>
          <w:color w:val="222222"/>
          <w:lang w:eastAsia="en-NZ"/>
        </w:rPr>
        <w:t> </w:t>
      </w:r>
      <w:r w:rsidRPr="00D91E4F">
        <w:rPr>
          <w:rFonts w:eastAsia="Times New Roman" w:cs="Arial"/>
          <w:color w:val="222222"/>
          <w:lang w:eastAsia="en-NZ"/>
        </w:rPr>
        <w:t>or other derivatives. One system uses a small quantity of a non-salt radical initiator such as Marshall's acid, a di-acid peroxide that can be split into two radicals. These radicals will remove hydrogens from methane,</w:t>
      </w:r>
      <w:r w:rsidRPr="0057133E">
        <w:rPr>
          <w:rFonts w:eastAsia="Times New Roman" w:cs="Arial"/>
          <w:color w:val="222222"/>
          <w:lang w:eastAsia="en-NZ"/>
        </w:rPr>
        <w:t> </w:t>
      </w:r>
      <w:r w:rsidRPr="0057133E">
        <w:rPr>
          <w:rFonts w:eastAsia="Times New Roman" w:cs="Arial"/>
          <w:color w:val="222222"/>
          <w:shd w:val="clear" w:color="auto" w:fill="FFFFCC"/>
          <w:lang w:eastAsia="en-NZ"/>
        </w:rPr>
        <w:t>to</w:t>
      </w:r>
      <w:r w:rsidRPr="0057133E">
        <w:rPr>
          <w:rFonts w:eastAsia="Times New Roman" w:cs="Arial"/>
          <w:color w:val="222222"/>
          <w:lang w:eastAsia="en-NZ"/>
        </w:rPr>
        <w:t> </w:t>
      </w:r>
      <w:r w:rsidRPr="00D91E4F">
        <w:rPr>
          <w:rFonts w:eastAsia="Times New Roman" w:cs="Arial"/>
          <w:color w:val="222222"/>
          <w:lang w:eastAsia="en-NZ"/>
        </w:rPr>
        <w:t xml:space="preserve">generate methyl radicals. </w:t>
      </w:r>
      <w:proofErr w:type="spellStart"/>
      <w:r w:rsidRPr="00D91E4F">
        <w:rPr>
          <w:rFonts w:eastAsia="Times New Roman" w:cs="Arial"/>
          <w:color w:val="222222"/>
          <w:lang w:eastAsia="en-NZ"/>
        </w:rPr>
        <w:t>Sulfur</w:t>
      </w:r>
      <w:proofErr w:type="spellEnd"/>
      <w:r w:rsidRPr="00D91E4F">
        <w:rPr>
          <w:rFonts w:eastAsia="Times New Roman" w:cs="Arial"/>
          <w:color w:val="222222"/>
          <w:lang w:eastAsia="en-NZ"/>
        </w:rPr>
        <w:t xml:space="preserve"> trioxide is added, and methyl radicals combine with it</w:t>
      </w:r>
      <w:r w:rsidRPr="0057133E">
        <w:rPr>
          <w:rFonts w:eastAsia="Times New Roman" w:cs="Arial"/>
          <w:color w:val="222222"/>
          <w:lang w:eastAsia="en-NZ"/>
        </w:rPr>
        <w:t> </w:t>
      </w:r>
      <w:r w:rsidRPr="0057133E">
        <w:rPr>
          <w:rFonts w:eastAsia="Times New Roman" w:cs="Arial"/>
          <w:color w:val="222222"/>
          <w:shd w:val="clear" w:color="auto" w:fill="FFFFCC"/>
          <w:lang w:eastAsia="en-NZ"/>
        </w:rPr>
        <w:t>to</w:t>
      </w:r>
      <w:r w:rsidRPr="0057133E">
        <w:rPr>
          <w:rFonts w:eastAsia="Times New Roman" w:cs="Arial"/>
          <w:color w:val="222222"/>
          <w:lang w:eastAsia="en-NZ"/>
        </w:rPr>
        <w:t> </w:t>
      </w:r>
      <w:r w:rsidRPr="00D91E4F">
        <w:rPr>
          <w:rFonts w:eastAsia="Times New Roman" w:cs="Arial"/>
          <w:color w:val="222222"/>
          <w:lang w:eastAsia="en-NZ"/>
        </w:rPr>
        <w:t xml:space="preserve">form </w:t>
      </w:r>
      <w:proofErr w:type="spellStart"/>
      <w:r w:rsidRPr="00D91E4F">
        <w:rPr>
          <w:rFonts w:eastAsia="Times New Roman" w:cs="Arial"/>
          <w:color w:val="222222"/>
          <w:lang w:eastAsia="en-NZ"/>
        </w:rPr>
        <w:t>methylsulfonate</w:t>
      </w:r>
      <w:proofErr w:type="spellEnd"/>
      <w:r w:rsidRPr="00D91E4F">
        <w:rPr>
          <w:rFonts w:eastAsia="Times New Roman" w:cs="Arial"/>
          <w:color w:val="222222"/>
          <w:lang w:eastAsia="en-NZ"/>
        </w:rPr>
        <w:t xml:space="preserve"> radicals. Methane is added, and the </w:t>
      </w:r>
      <w:proofErr w:type="spellStart"/>
      <w:r w:rsidRPr="00D91E4F">
        <w:rPr>
          <w:rFonts w:eastAsia="Times New Roman" w:cs="Arial"/>
          <w:color w:val="222222"/>
          <w:lang w:eastAsia="en-NZ"/>
        </w:rPr>
        <w:t>methylsulfonate</w:t>
      </w:r>
      <w:proofErr w:type="spellEnd"/>
      <w:r w:rsidRPr="00D91E4F">
        <w:rPr>
          <w:rFonts w:eastAsia="Times New Roman" w:cs="Arial"/>
          <w:color w:val="222222"/>
          <w:lang w:eastAsia="en-NZ"/>
        </w:rPr>
        <w:t xml:space="preserve"> radicals will remove hydrogens from it,</w:t>
      </w:r>
      <w:r w:rsidRPr="0057133E">
        <w:rPr>
          <w:rFonts w:eastAsia="Times New Roman" w:cs="Arial"/>
          <w:color w:val="222222"/>
          <w:lang w:eastAsia="en-NZ"/>
        </w:rPr>
        <w:t> </w:t>
      </w:r>
      <w:r w:rsidRPr="0057133E">
        <w:rPr>
          <w:rFonts w:eastAsia="Times New Roman" w:cs="Arial"/>
          <w:color w:val="222222"/>
          <w:shd w:val="clear" w:color="auto" w:fill="FFFFCC"/>
          <w:lang w:eastAsia="en-NZ"/>
        </w:rPr>
        <w:t>to</w:t>
      </w:r>
      <w:r w:rsidRPr="0057133E">
        <w:rPr>
          <w:rFonts w:eastAsia="Times New Roman" w:cs="Arial"/>
          <w:color w:val="222222"/>
          <w:lang w:eastAsia="en-NZ"/>
        </w:rPr>
        <w:t> </w:t>
      </w:r>
      <w:r w:rsidRPr="00D91E4F">
        <w:rPr>
          <w:rFonts w:eastAsia="Times New Roman" w:cs="Arial"/>
          <w:color w:val="222222"/>
          <w:lang w:eastAsia="en-NZ"/>
        </w:rPr>
        <w:t xml:space="preserve">form stable </w:t>
      </w:r>
      <w:proofErr w:type="spellStart"/>
      <w:r w:rsidRPr="00D91E4F">
        <w:rPr>
          <w:rFonts w:eastAsia="Times New Roman" w:cs="Arial"/>
          <w:color w:val="222222"/>
          <w:lang w:eastAsia="en-NZ"/>
        </w:rPr>
        <w:t>methanesulfonic</w:t>
      </w:r>
      <w:proofErr w:type="spellEnd"/>
      <w:r w:rsidRPr="00D91E4F">
        <w:rPr>
          <w:rFonts w:eastAsia="Times New Roman" w:cs="Arial"/>
          <w:color w:val="222222"/>
          <w:lang w:eastAsia="en-NZ"/>
        </w:rPr>
        <w:t xml:space="preserve"> acid (MSA) while creating new methyl radicals</w:t>
      </w:r>
      <w:r w:rsidRPr="0057133E">
        <w:rPr>
          <w:rFonts w:eastAsia="Times New Roman" w:cs="Arial"/>
          <w:color w:val="222222"/>
          <w:lang w:eastAsia="en-NZ"/>
        </w:rPr>
        <w:t> </w:t>
      </w:r>
      <w:r w:rsidRPr="0057133E">
        <w:rPr>
          <w:rFonts w:eastAsia="Times New Roman" w:cs="Arial"/>
          <w:color w:val="222222"/>
          <w:shd w:val="clear" w:color="auto" w:fill="FFFFCC"/>
          <w:lang w:eastAsia="en-NZ"/>
        </w:rPr>
        <w:t>to</w:t>
      </w:r>
      <w:r w:rsidRPr="0057133E">
        <w:rPr>
          <w:rFonts w:eastAsia="Times New Roman" w:cs="Arial"/>
          <w:color w:val="222222"/>
          <w:lang w:eastAsia="en-NZ"/>
        </w:rPr>
        <w:t> </w:t>
      </w:r>
      <w:r w:rsidRPr="00D91E4F">
        <w:rPr>
          <w:rFonts w:eastAsia="Times New Roman" w:cs="Arial"/>
          <w:color w:val="222222"/>
          <w:lang w:eastAsia="en-NZ"/>
        </w:rPr>
        <w:t>sustain the chain reaction. MSA that is removed can be sold or used, or it can be split into</w:t>
      </w:r>
      <w:r w:rsidRPr="0057133E">
        <w:rPr>
          <w:rFonts w:eastAsia="Times New Roman" w:cs="Arial"/>
          <w:color w:val="222222"/>
          <w:lang w:eastAsia="en-NZ"/>
        </w:rPr>
        <w:t> </w:t>
      </w:r>
      <w:r w:rsidRPr="0057133E">
        <w:rPr>
          <w:rFonts w:eastAsia="Times New Roman" w:cs="Arial"/>
          <w:color w:val="222222"/>
          <w:shd w:val="clear" w:color="auto" w:fill="FFFFCC"/>
          <w:lang w:eastAsia="en-NZ"/>
        </w:rPr>
        <w:t>methanol</w:t>
      </w:r>
      <w:r w:rsidRPr="0057133E">
        <w:rPr>
          <w:rFonts w:eastAsia="Times New Roman" w:cs="Arial"/>
          <w:color w:val="222222"/>
          <w:lang w:eastAsia="en-NZ"/>
        </w:rPr>
        <w:t> </w:t>
      </w:r>
      <w:r w:rsidRPr="00D91E4F">
        <w:rPr>
          <w:rFonts w:eastAsia="Times New Roman" w:cs="Arial"/>
          <w:color w:val="222222"/>
          <w:lang w:eastAsia="en-NZ"/>
        </w:rPr>
        <w:t xml:space="preserve">(which can be used on site, or shipped as a liquid) and </w:t>
      </w:r>
      <w:proofErr w:type="spellStart"/>
      <w:r w:rsidRPr="00D91E4F">
        <w:rPr>
          <w:rFonts w:eastAsia="Times New Roman" w:cs="Arial"/>
          <w:color w:val="222222"/>
          <w:lang w:eastAsia="en-NZ"/>
        </w:rPr>
        <w:t>sulfur</w:t>
      </w:r>
      <w:proofErr w:type="spellEnd"/>
      <w:r w:rsidRPr="00D91E4F">
        <w:rPr>
          <w:rFonts w:eastAsia="Times New Roman" w:cs="Arial"/>
          <w:color w:val="222222"/>
          <w:lang w:eastAsia="en-NZ"/>
        </w:rPr>
        <w:t xml:space="preserve"> dioxide (which can be oxidized</w:t>
      </w:r>
      <w:r w:rsidRPr="0057133E">
        <w:rPr>
          <w:rFonts w:eastAsia="Times New Roman" w:cs="Arial"/>
          <w:color w:val="222222"/>
          <w:lang w:eastAsia="en-NZ"/>
        </w:rPr>
        <w:t> </w:t>
      </w:r>
      <w:r w:rsidRPr="0057133E">
        <w:rPr>
          <w:rFonts w:eastAsia="Times New Roman" w:cs="Arial"/>
          <w:color w:val="222222"/>
          <w:shd w:val="clear" w:color="auto" w:fill="FFFFCC"/>
          <w:lang w:eastAsia="en-NZ"/>
        </w:rPr>
        <w:t>to</w:t>
      </w:r>
      <w:r w:rsidRPr="0057133E">
        <w:rPr>
          <w:rFonts w:eastAsia="Times New Roman" w:cs="Arial"/>
          <w:color w:val="222222"/>
          <w:lang w:eastAsia="en-NZ"/>
        </w:rPr>
        <w:t> </w:t>
      </w:r>
      <w:proofErr w:type="spellStart"/>
      <w:r w:rsidRPr="00D91E4F">
        <w:rPr>
          <w:rFonts w:eastAsia="Times New Roman" w:cs="Arial"/>
          <w:color w:val="222222"/>
          <w:lang w:eastAsia="en-NZ"/>
        </w:rPr>
        <w:t>sulfur</w:t>
      </w:r>
      <w:proofErr w:type="spellEnd"/>
      <w:r w:rsidRPr="00D91E4F">
        <w:rPr>
          <w:rFonts w:eastAsia="Times New Roman" w:cs="Arial"/>
          <w:color w:val="222222"/>
          <w:lang w:eastAsia="en-NZ"/>
        </w:rPr>
        <w:t xml:space="preserve"> trioxide and returned</w:t>
      </w:r>
      <w:r w:rsidRPr="0057133E">
        <w:rPr>
          <w:rFonts w:eastAsia="Times New Roman" w:cs="Arial"/>
          <w:color w:val="222222"/>
          <w:lang w:eastAsia="en-NZ"/>
        </w:rPr>
        <w:t> </w:t>
      </w:r>
      <w:r w:rsidRPr="0057133E">
        <w:rPr>
          <w:rFonts w:eastAsia="Times New Roman" w:cs="Arial"/>
          <w:color w:val="222222"/>
          <w:shd w:val="clear" w:color="auto" w:fill="FFFFCC"/>
          <w:lang w:eastAsia="en-NZ"/>
        </w:rPr>
        <w:t>to</w:t>
      </w:r>
      <w:r w:rsidRPr="0057133E">
        <w:rPr>
          <w:rFonts w:eastAsia="Times New Roman" w:cs="Arial"/>
          <w:color w:val="222222"/>
          <w:lang w:eastAsia="en-NZ"/>
        </w:rPr>
        <w:t> </w:t>
      </w:r>
      <w:r w:rsidRPr="00D91E4F">
        <w:rPr>
          <w:rFonts w:eastAsia="Times New Roman" w:cs="Arial"/>
          <w:color w:val="222222"/>
          <w:lang w:eastAsia="en-NZ"/>
        </w:rPr>
        <w:t>the reactor). This anhydrous system creates no salts and minimal waste. An alternate system uses a bi-functional reagent with electrophilic and nucleophilic domains (such as a bromate-</w:t>
      </w:r>
      <w:proofErr w:type="spellStart"/>
      <w:r w:rsidRPr="00D91E4F">
        <w:rPr>
          <w:rFonts w:eastAsia="Times New Roman" w:cs="Arial"/>
          <w:color w:val="222222"/>
          <w:lang w:eastAsia="en-NZ"/>
        </w:rPr>
        <w:t>sulfate</w:t>
      </w:r>
      <w:proofErr w:type="spellEnd"/>
      <w:r w:rsidRPr="00D91E4F">
        <w:rPr>
          <w:rFonts w:eastAsia="Times New Roman" w:cs="Arial"/>
          <w:color w:val="222222"/>
          <w:lang w:eastAsia="en-NZ"/>
        </w:rPr>
        <w:t xml:space="preserve"> compound)</w:t>
      </w:r>
      <w:r w:rsidRPr="0057133E">
        <w:rPr>
          <w:rFonts w:eastAsia="Times New Roman" w:cs="Arial"/>
          <w:color w:val="222222"/>
          <w:lang w:eastAsia="en-NZ"/>
        </w:rPr>
        <w:t> </w:t>
      </w:r>
      <w:r w:rsidRPr="0057133E">
        <w:rPr>
          <w:rFonts w:eastAsia="Times New Roman" w:cs="Arial"/>
          <w:color w:val="222222"/>
          <w:shd w:val="clear" w:color="auto" w:fill="FFFFCC"/>
          <w:lang w:eastAsia="en-NZ"/>
        </w:rPr>
        <w:t>to</w:t>
      </w:r>
      <w:r w:rsidRPr="0057133E">
        <w:rPr>
          <w:rFonts w:eastAsia="Times New Roman" w:cs="Arial"/>
          <w:color w:val="222222"/>
          <w:lang w:eastAsia="en-NZ"/>
        </w:rPr>
        <w:t> </w:t>
      </w:r>
      <w:r w:rsidRPr="00D91E4F">
        <w:rPr>
          <w:rFonts w:eastAsia="Times New Roman" w:cs="Arial"/>
          <w:color w:val="222222"/>
          <w:lang w:eastAsia="en-NZ"/>
        </w:rPr>
        <w:t xml:space="preserve">create coordinated proton and electron shifts in methane, using </w:t>
      </w:r>
      <w:proofErr w:type="spellStart"/>
      <w:r w:rsidRPr="00D91E4F">
        <w:rPr>
          <w:rFonts w:eastAsia="Times New Roman" w:cs="Arial"/>
          <w:color w:val="222222"/>
          <w:lang w:eastAsia="en-NZ"/>
        </w:rPr>
        <w:t>symphoric</w:t>
      </w:r>
      <w:proofErr w:type="spellEnd"/>
      <w:r w:rsidRPr="00D91E4F">
        <w:rPr>
          <w:rFonts w:eastAsia="Times New Roman" w:cs="Arial"/>
          <w:color w:val="222222"/>
          <w:lang w:eastAsia="en-NZ"/>
        </w:rPr>
        <w:t xml:space="preserve"> and </w:t>
      </w:r>
      <w:proofErr w:type="spellStart"/>
      <w:r w:rsidRPr="00D91E4F">
        <w:rPr>
          <w:rFonts w:eastAsia="Times New Roman" w:cs="Arial"/>
          <w:color w:val="222222"/>
          <w:lang w:eastAsia="en-NZ"/>
        </w:rPr>
        <w:t>anchimeric</w:t>
      </w:r>
      <w:proofErr w:type="spellEnd"/>
      <w:r w:rsidRPr="00D91E4F">
        <w:rPr>
          <w:rFonts w:eastAsia="Times New Roman" w:cs="Arial"/>
          <w:color w:val="222222"/>
          <w:lang w:eastAsia="en-NZ"/>
        </w:rPr>
        <w:t xml:space="preserve"> effects</w:t>
      </w:r>
      <w:r w:rsidRPr="0057133E">
        <w:rPr>
          <w:rFonts w:eastAsia="Times New Roman" w:cs="Arial"/>
          <w:color w:val="222222"/>
          <w:lang w:eastAsia="en-NZ"/>
        </w:rPr>
        <w:t> </w:t>
      </w:r>
      <w:r w:rsidRPr="0057133E">
        <w:rPr>
          <w:rFonts w:eastAsia="Times New Roman" w:cs="Arial"/>
          <w:color w:val="222222"/>
          <w:shd w:val="clear" w:color="auto" w:fill="FFFFCC"/>
          <w:lang w:eastAsia="en-NZ"/>
        </w:rPr>
        <w:t>to</w:t>
      </w:r>
      <w:r w:rsidRPr="0057133E">
        <w:rPr>
          <w:rFonts w:eastAsia="Times New Roman" w:cs="Arial"/>
          <w:color w:val="222222"/>
          <w:lang w:eastAsia="en-NZ"/>
        </w:rPr>
        <w:t> </w:t>
      </w:r>
      <w:r w:rsidRPr="00D91E4F">
        <w:rPr>
          <w:rFonts w:eastAsia="Times New Roman" w:cs="Arial"/>
          <w:color w:val="222222"/>
          <w:lang w:eastAsia="en-NZ"/>
        </w:rPr>
        <w:t>create transitional intermediates with low energy barriers, allowing selective formation of intermediates that can be cracked</w:t>
      </w:r>
      <w:r w:rsidRPr="0057133E">
        <w:rPr>
          <w:rFonts w:eastAsia="Times New Roman" w:cs="Arial"/>
          <w:color w:val="222222"/>
          <w:lang w:eastAsia="en-NZ"/>
        </w:rPr>
        <w:t> </w:t>
      </w:r>
      <w:r w:rsidRPr="0057133E">
        <w:rPr>
          <w:rFonts w:eastAsia="Times New Roman" w:cs="Arial"/>
          <w:color w:val="222222"/>
          <w:shd w:val="clear" w:color="auto" w:fill="FFFFCC"/>
          <w:lang w:eastAsia="en-NZ"/>
        </w:rPr>
        <w:t>to</w:t>
      </w:r>
      <w:r w:rsidRPr="0057133E">
        <w:rPr>
          <w:rFonts w:eastAsia="Times New Roman" w:cs="Arial"/>
          <w:color w:val="222222"/>
          <w:lang w:eastAsia="en-NZ"/>
        </w:rPr>
        <w:t> </w:t>
      </w:r>
      <w:r w:rsidRPr="00D91E4F">
        <w:rPr>
          <w:rFonts w:eastAsia="Times New Roman" w:cs="Arial"/>
          <w:color w:val="222222"/>
          <w:lang w:eastAsia="en-NZ"/>
        </w:rPr>
        <w:t>release</w:t>
      </w:r>
      <w:r w:rsidRPr="0057133E">
        <w:rPr>
          <w:rFonts w:eastAsia="Times New Roman" w:cs="Arial"/>
          <w:color w:val="222222"/>
          <w:lang w:eastAsia="en-NZ"/>
        </w:rPr>
        <w:t> </w:t>
      </w:r>
      <w:r w:rsidRPr="0057133E">
        <w:rPr>
          <w:rFonts w:eastAsia="Times New Roman" w:cs="Arial"/>
          <w:color w:val="222222"/>
          <w:shd w:val="clear" w:color="auto" w:fill="FFFFCC"/>
          <w:lang w:eastAsia="en-NZ"/>
        </w:rPr>
        <w:t>methanol</w:t>
      </w:r>
      <w:r w:rsidRPr="00D91E4F">
        <w:rPr>
          <w:rFonts w:eastAsia="Times New Roman" w:cs="Arial"/>
          <w:color w:val="222222"/>
          <w:lang w:eastAsia="en-NZ"/>
        </w:rPr>
        <w:t>. Either system can improve the selectivity and yield of</w:t>
      </w:r>
      <w:r w:rsidRPr="0057133E">
        <w:rPr>
          <w:rFonts w:eastAsia="Times New Roman" w:cs="Arial"/>
          <w:color w:val="222222"/>
          <w:lang w:eastAsia="en-NZ"/>
        </w:rPr>
        <w:t> </w:t>
      </w:r>
      <w:r w:rsidRPr="0057133E">
        <w:rPr>
          <w:rFonts w:eastAsia="Times New Roman" w:cs="Arial"/>
          <w:color w:val="222222"/>
          <w:shd w:val="clear" w:color="auto" w:fill="FFFFCC"/>
          <w:lang w:eastAsia="en-NZ"/>
        </w:rPr>
        <w:t>methanol</w:t>
      </w:r>
      <w:r w:rsidRPr="0057133E">
        <w:rPr>
          <w:rFonts w:eastAsia="Times New Roman" w:cs="Arial"/>
          <w:color w:val="222222"/>
          <w:lang w:eastAsia="en-NZ"/>
        </w:rPr>
        <w:t> </w:t>
      </w:r>
      <w:r w:rsidRPr="00D91E4F">
        <w:rPr>
          <w:rFonts w:eastAsia="Times New Roman" w:cs="Arial"/>
          <w:color w:val="222222"/>
          <w:lang w:eastAsia="en-NZ"/>
        </w:rPr>
        <w:t>from methane.</w:t>
      </w:r>
    </w:p>
    <w:p w:rsidR="00015EDA" w:rsidRPr="0057133E" w:rsidRDefault="00015EDA" w:rsidP="00015EDA">
      <w:pPr>
        <w:shd w:val="clear" w:color="auto" w:fill="FFFFFF"/>
        <w:spacing w:after="40" w:line="240" w:lineRule="auto"/>
        <w:jc w:val="both"/>
        <w:rPr>
          <w:rFonts w:eastAsia="Times New Roman" w:cs="Arial"/>
          <w:color w:val="222222"/>
          <w:lang w:eastAsia="en-NZ"/>
        </w:rPr>
      </w:pPr>
      <w:r w:rsidRPr="0057133E">
        <w:rPr>
          <w:rFonts w:eastAsia="Times New Roman" w:cs="Arial"/>
          <w:color w:val="222222"/>
          <w:lang w:eastAsia="en-NZ"/>
        </w:rPr>
        <w:t>Status: Active</w:t>
      </w:r>
    </w:p>
    <w:p w:rsidR="00015EDA" w:rsidRPr="0057133E" w:rsidRDefault="00015EDA" w:rsidP="00015EDA">
      <w:pPr>
        <w:shd w:val="clear" w:color="auto" w:fill="FFFFFF"/>
        <w:spacing w:after="40" w:line="240" w:lineRule="auto"/>
        <w:jc w:val="both"/>
        <w:rPr>
          <w:rFonts w:eastAsia="Times New Roman" w:cs="Arial"/>
          <w:color w:val="222222"/>
          <w:lang w:eastAsia="en-NZ"/>
        </w:rPr>
      </w:pPr>
      <w:r w:rsidRPr="0057133E">
        <w:rPr>
          <w:rFonts w:eastAsia="Times New Roman" w:cs="Arial"/>
          <w:color w:val="222222"/>
          <w:lang w:eastAsia="en-NZ"/>
        </w:rPr>
        <w:t xml:space="preserve">Assignee: </w:t>
      </w:r>
      <w:hyperlink r:id="rId42" w:history="1">
        <w:r w:rsidRPr="000F5B21">
          <w:rPr>
            <w:rFonts w:eastAsia="Times New Roman" w:cs="Arial"/>
            <w:lang w:eastAsia="en-NZ"/>
          </w:rPr>
          <w:t>Alan K. Richards</w:t>
        </w:r>
      </w:hyperlink>
    </w:p>
    <w:p w:rsidR="00015EDA" w:rsidRPr="0057133E" w:rsidRDefault="00015EDA" w:rsidP="00015EDA">
      <w:pPr>
        <w:shd w:val="clear" w:color="auto" w:fill="FFFFFF"/>
        <w:spacing w:after="40" w:line="240" w:lineRule="auto"/>
        <w:ind w:left="1440"/>
        <w:rPr>
          <w:rFonts w:eastAsia="Times New Roman" w:cs="Arial"/>
          <w:b/>
          <w:bCs/>
          <w:color w:val="222222"/>
          <w:lang w:eastAsia="en-NZ"/>
        </w:rPr>
      </w:pPr>
      <w:r w:rsidRPr="0057133E">
        <w:rPr>
          <w:rStyle w:val="nested-key"/>
          <w:rFonts w:cs="Arial"/>
          <w:b/>
          <w:bCs/>
          <w:color w:val="333333"/>
          <w:shd w:val="clear" w:color="auto" w:fill="FFFFFF"/>
        </w:rPr>
        <w:t xml:space="preserve">7. </w:t>
      </w:r>
      <w:r w:rsidRPr="0057133E">
        <w:rPr>
          <w:rFonts w:eastAsia="Times New Roman" w:cs="Arial"/>
          <w:b/>
          <w:bCs/>
          <w:color w:val="222222"/>
          <w:lang w:eastAsia="en-NZ"/>
        </w:rPr>
        <w:t>Tube Monitor and Process Measurement and Control in or for a Reformer </w:t>
      </w:r>
      <w:r w:rsidRPr="0057133E">
        <w:rPr>
          <w:rFonts w:eastAsia="Times New Roman" w:cs="Arial"/>
          <w:b/>
          <w:bCs/>
          <w:color w:val="222222"/>
          <w:lang w:eastAsia="en-NZ"/>
        </w:rPr>
        <w:br/>
      </w:r>
      <w:r w:rsidRPr="0057133E">
        <w:rPr>
          <w:rFonts w:eastAsia="Times New Roman" w:cs="Arial"/>
          <w:b/>
          <w:bCs/>
          <w:color w:val="999999"/>
          <w:lang w:eastAsia="en-NZ"/>
        </w:rPr>
        <w:t>US 20140105243 A1</w:t>
      </w:r>
    </w:p>
    <w:p w:rsidR="00015EDA" w:rsidRPr="00B62D82" w:rsidRDefault="00015EDA" w:rsidP="00015EDA">
      <w:pPr>
        <w:shd w:val="clear" w:color="auto" w:fill="FFFFFF"/>
        <w:spacing w:after="40" w:line="240" w:lineRule="auto"/>
        <w:jc w:val="both"/>
        <w:rPr>
          <w:rFonts w:eastAsia="Times New Roman" w:cs="Arial"/>
          <w:color w:val="333333"/>
          <w:lang w:eastAsia="en-NZ"/>
        </w:rPr>
      </w:pPr>
      <w:r w:rsidRPr="0057133E">
        <w:rPr>
          <w:rFonts w:eastAsia="Times New Roman" w:cs="Arial"/>
          <w:b/>
          <w:bCs/>
          <w:caps/>
          <w:color w:val="454545"/>
          <w:lang w:eastAsia="en-NZ"/>
        </w:rPr>
        <w:t>ABSTRACT</w:t>
      </w:r>
    </w:p>
    <w:p w:rsidR="00015EDA" w:rsidRPr="0057133E" w:rsidRDefault="00015EDA" w:rsidP="00015EDA">
      <w:pPr>
        <w:shd w:val="clear" w:color="auto" w:fill="FFFFFF"/>
        <w:spacing w:after="40" w:line="240" w:lineRule="auto"/>
        <w:jc w:val="both"/>
        <w:rPr>
          <w:rFonts w:eastAsia="Times New Roman" w:cs="Arial"/>
          <w:color w:val="222222"/>
          <w:lang w:eastAsia="en-NZ"/>
        </w:rPr>
      </w:pPr>
      <w:r w:rsidRPr="00B62D82">
        <w:rPr>
          <w:rFonts w:eastAsia="Times New Roman" w:cs="Arial"/>
          <w:color w:val="222222"/>
          <w:lang w:eastAsia="en-NZ"/>
        </w:rPr>
        <w:t>The invention relates</w:t>
      </w:r>
      <w:r w:rsidRPr="0057133E">
        <w:rPr>
          <w:rFonts w:eastAsia="Times New Roman" w:cs="Arial"/>
          <w:color w:val="222222"/>
          <w:lang w:eastAsia="en-NZ"/>
        </w:rPr>
        <w:t> </w:t>
      </w:r>
      <w:r w:rsidRPr="0057133E">
        <w:rPr>
          <w:rFonts w:eastAsia="Times New Roman" w:cs="Arial"/>
          <w:color w:val="222222"/>
          <w:shd w:val="clear" w:color="auto" w:fill="FFFFCC"/>
          <w:lang w:eastAsia="en-NZ"/>
        </w:rPr>
        <w:t>to</w:t>
      </w:r>
      <w:r w:rsidRPr="0057133E">
        <w:rPr>
          <w:rFonts w:eastAsia="Times New Roman" w:cs="Arial"/>
          <w:color w:val="222222"/>
          <w:lang w:eastAsia="en-NZ"/>
        </w:rPr>
        <w:t> </w:t>
      </w:r>
      <w:r w:rsidRPr="00B62D82">
        <w:rPr>
          <w:rFonts w:eastAsia="Times New Roman" w:cs="Arial"/>
          <w:color w:val="222222"/>
          <w:lang w:eastAsia="en-NZ"/>
        </w:rPr>
        <w:t>methods and apparatus of measuring real time temperature conditions within a reformer. The data is then used for process control optimisation, overheat protection, and improved creep damage and fatigue life prediction.</w:t>
      </w:r>
    </w:p>
    <w:p w:rsidR="00015EDA" w:rsidRPr="0057133E" w:rsidRDefault="00015EDA" w:rsidP="00015EDA">
      <w:pPr>
        <w:shd w:val="clear" w:color="auto" w:fill="FFFFFF"/>
        <w:spacing w:after="40" w:line="240" w:lineRule="auto"/>
        <w:jc w:val="both"/>
        <w:rPr>
          <w:rFonts w:eastAsia="Times New Roman" w:cs="Arial"/>
          <w:color w:val="222222"/>
          <w:lang w:eastAsia="en-NZ"/>
        </w:rPr>
      </w:pPr>
      <w:r w:rsidRPr="0057133E">
        <w:rPr>
          <w:rFonts w:eastAsia="Times New Roman" w:cs="Arial"/>
          <w:color w:val="222222"/>
          <w:lang w:eastAsia="en-NZ"/>
        </w:rPr>
        <w:t>Status: Active</w:t>
      </w:r>
    </w:p>
    <w:p w:rsidR="00015EDA" w:rsidRPr="00B62D82" w:rsidRDefault="00015EDA" w:rsidP="00015EDA">
      <w:pPr>
        <w:shd w:val="clear" w:color="auto" w:fill="FFFFFF"/>
        <w:spacing w:after="40" w:line="240" w:lineRule="auto"/>
        <w:jc w:val="both"/>
        <w:rPr>
          <w:rFonts w:eastAsia="Times New Roman" w:cs="Arial"/>
          <w:color w:val="222222"/>
          <w:lang w:eastAsia="en-NZ"/>
        </w:rPr>
      </w:pPr>
      <w:r w:rsidRPr="0057133E">
        <w:rPr>
          <w:rFonts w:eastAsia="Times New Roman" w:cs="Arial"/>
          <w:color w:val="222222"/>
          <w:lang w:eastAsia="en-NZ"/>
        </w:rPr>
        <w:t>Assignee:</w:t>
      </w:r>
      <w:r w:rsidRPr="0057133E">
        <w:rPr>
          <w:rFonts w:eastAsia="Times New Roman" w:cs="Arial"/>
          <w:color w:val="666666"/>
          <w:lang w:eastAsia="en-NZ"/>
        </w:rPr>
        <w:t xml:space="preserve"> </w:t>
      </w:r>
      <w:hyperlink r:id="rId43" w:history="1">
        <w:r w:rsidRPr="000F5B21">
          <w:rPr>
            <w:rFonts w:eastAsia="Times New Roman" w:cs="Arial"/>
            <w:lang w:eastAsia="en-NZ"/>
          </w:rPr>
          <w:t>Peter Campbell Tait</w:t>
        </w:r>
      </w:hyperlink>
    </w:p>
    <w:p w:rsidR="00015EDA" w:rsidRPr="00D91E4F" w:rsidRDefault="00015EDA" w:rsidP="00015EDA">
      <w:pPr>
        <w:shd w:val="clear" w:color="auto" w:fill="FFFFFF"/>
        <w:spacing w:after="40" w:line="240" w:lineRule="auto"/>
        <w:jc w:val="both"/>
        <w:rPr>
          <w:rFonts w:eastAsia="Times New Roman" w:cs="Arial"/>
          <w:color w:val="222222"/>
          <w:lang w:eastAsia="en-NZ"/>
        </w:rPr>
      </w:pPr>
      <w:r w:rsidRPr="0057133E">
        <w:rPr>
          <w:rStyle w:val="nested-key"/>
          <w:rFonts w:cs="Arial"/>
          <w:b/>
          <w:bCs/>
          <w:color w:val="333333"/>
          <w:shd w:val="clear" w:color="auto" w:fill="FFFFFF"/>
        </w:rPr>
        <w:t>Owner name:</w:t>
      </w:r>
      <w:r w:rsidRPr="0057133E">
        <w:rPr>
          <w:rStyle w:val="apple-converted-space"/>
          <w:rFonts w:cs="Arial"/>
          <w:b/>
          <w:bCs/>
          <w:color w:val="333333"/>
          <w:shd w:val="clear" w:color="auto" w:fill="FFFFFF"/>
        </w:rPr>
        <w:t> </w:t>
      </w:r>
      <w:r w:rsidRPr="0057133E">
        <w:rPr>
          <w:rStyle w:val="nested-value"/>
          <w:rFonts w:cs="Arial"/>
          <w:color w:val="333333"/>
          <w:shd w:val="clear" w:color="auto" w:fill="FFFFFF"/>
        </w:rPr>
        <w:t>METHANEX NEW ZEALAND LIMITED, NEW ZEALAND</w:t>
      </w:r>
    </w:p>
    <w:p w:rsidR="00015EDA" w:rsidRDefault="00015EDA" w:rsidP="00015EDA">
      <w:pPr>
        <w:spacing w:after="40" w:line="240" w:lineRule="auto"/>
        <w:jc w:val="both"/>
      </w:pPr>
    </w:p>
    <w:p w:rsidR="00015EDA" w:rsidRDefault="00015EDA" w:rsidP="00015EDA">
      <w:pPr>
        <w:spacing w:after="40" w:line="240" w:lineRule="auto"/>
        <w:jc w:val="both"/>
      </w:pPr>
    </w:p>
    <w:p w:rsidR="00015EDA" w:rsidRDefault="00015EDA" w:rsidP="00015EDA">
      <w:pPr>
        <w:spacing w:after="40" w:line="240" w:lineRule="auto"/>
        <w:jc w:val="both"/>
      </w:pPr>
    </w:p>
    <w:p w:rsidR="00015EDA" w:rsidRDefault="00015EDA" w:rsidP="00015EDA">
      <w:pPr>
        <w:pStyle w:val="Heading2"/>
        <w:ind w:firstLine="720"/>
        <w:jc w:val="center"/>
      </w:pPr>
      <w:r>
        <w:lastRenderedPageBreak/>
        <w:t>5.2 Notes for inventors and information for patent licensing in New Zealand</w:t>
      </w:r>
      <w:r w:rsidRPr="0057133E">
        <w:rPr>
          <w:noProof/>
          <w:lang w:eastAsia="en-NZ"/>
        </w:rPr>
        <w:t xml:space="preserve"> </w:t>
      </w:r>
    </w:p>
    <w:p w:rsidR="00015EDA" w:rsidRPr="0057133E" w:rsidRDefault="00015EDA" w:rsidP="00015EDA">
      <w:pPr>
        <w:spacing w:after="40" w:line="240" w:lineRule="auto"/>
        <w:jc w:val="both"/>
      </w:pPr>
    </w:p>
    <w:p w:rsidR="00015EDA" w:rsidRPr="0057133E" w:rsidRDefault="00015EDA" w:rsidP="00015EDA">
      <w:pPr>
        <w:spacing w:after="40" w:line="240" w:lineRule="auto"/>
        <w:jc w:val="both"/>
      </w:pPr>
    </w:p>
    <w:p w:rsidR="00015EDA" w:rsidRDefault="00015EDA" w:rsidP="00015EDA">
      <w:r>
        <w:rPr>
          <w:noProof/>
          <w:lang w:eastAsia="en-NZ"/>
        </w:rPr>
        <mc:AlternateContent>
          <mc:Choice Requires="wps">
            <w:drawing>
              <wp:anchor distT="0" distB="0" distL="114300" distR="114300" simplePos="0" relativeHeight="251662336" behindDoc="1" locked="0" layoutInCell="1" allowOverlap="1" wp14:anchorId="52F84180" wp14:editId="18F59EAC">
                <wp:simplePos x="0" y="0"/>
                <wp:positionH relativeFrom="column">
                  <wp:posOffset>841375</wp:posOffset>
                </wp:positionH>
                <wp:positionV relativeFrom="paragraph">
                  <wp:posOffset>6733540</wp:posOffset>
                </wp:positionV>
                <wp:extent cx="4048125"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4048125" cy="635"/>
                        </a:xfrm>
                        <a:prstGeom prst="rect">
                          <a:avLst/>
                        </a:prstGeom>
                        <a:solidFill>
                          <a:prstClr val="white"/>
                        </a:solidFill>
                        <a:ln>
                          <a:noFill/>
                        </a:ln>
                        <a:effectLst/>
                      </wps:spPr>
                      <wps:txbx>
                        <w:txbxContent>
                          <w:p w:rsidR="00015EDA" w:rsidRPr="006A60DD" w:rsidRDefault="00015EDA" w:rsidP="00015EDA">
                            <w:pPr>
                              <w:pStyle w:val="Caption"/>
                              <w:jc w:val="center"/>
                              <w:rPr>
                                <w:noProof/>
                              </w:rPr>
                            </w:pPr>
                            <w:r>
                              <w:t xml:space="preserve">Figure </w:t>
                            </w:r>
                            <w:r w:rsidR="006D26C9">
                              <w:t>18</w:t>
                            </w:r>
                            <w:r>
                              <w:t>:</w:t>
                            </w:r>
                            <w:r w:rsidR="006D26C9">
                              <w:t xml:space="preserve"> </w:t>
                            </w:r>
                            <w:r w:rsidRPr="00663027">
                              <w:t>IP Protection routes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F84180" id="Text Box 6" o:spid="_x0000_s1028" type="#_x0000_t202" style="position:absolute;margin-left:66.25pt;margin-top:530.2pt;width:318.7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" stroked="f">
                <v:textbox style="mso-fit-shape-to-text:t" inset="0,0,0,0">
                  <w:txbxContent>
                    <w:p w:rsidR="00015EDA" w:rsidRPr="006A60DD" w:rsidRDefault="00015EDA" w:rsidP="00015EDA">
                      <w:pPr>
                        <w:pStyle w:val="Caption"/>
                        <w:jc w:val="center"/>
                        <w:rPr>
                          <w:noProof/>
                        </w:rPr>
                      </w:pPr>
                      <w:r>
                        <w:t xml:space="preserve">Figure </w:t>
                      </w:r>
                      <w:r w:rsidR="006D26C9">
                        <w:t>18</w:t>
                      </w:r>
                      <w:r>
                        <w:t>:</w:t>
                      </w:r>
                      <w:r w:rsidR="006D26C9">
                        <w:t xml:space="preserve"> </w:t>
                      </w:r>
                      <w:r w:rsidRPr="00663027">
                        <w:t>IP Protection routes [3]</w:t>
                      </w:r>
                    </w:p>
                  </w:txbxContent>
                </v:textbox>
              </v:shape>
            </w:pict>
          </mc:Fallback>
        </mc:AlternateContent>
      </w:r>
      <w:r w:rsidRPr="0057133E">
        <w:rPr>
          <w:noProof/>
          <w:lang w:eastAsia="en-NZ"/>
        </w:rPr>
        <w:drawing>
          <wp:anchor distT="0" distB="0" distL="114300" distR="114300" simplePos="0" relativeHeight="251660288" behindDoc="1" locked="0" layoutInCell="1" allowOverlap="1" wp14:anchorId="21D4F7CA" wp14:editId="0232C8EB">
            <wp:simplePos x="0" y="0"/>
            <wp:positionH relativeFrom="margin">
              <wp:align>center</wp:align>
            </wp:positionH>
            <wp:positionV relativeFrom="paragraph">
              <wp:posOffset>9525</wp:posOffset>
            </wp:positionV>
            <wp:extent cx="4048125" cy="6667130"/>
            <wp:effectExtent l="0" t="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1407" t="21385" r="64092" b="6866"/>
                    <a:stretch/>
                  </pic:blipFill>
                  <pic:spPr bwMode="auto">
                    <a:xfrm>
                      <a:off x="0" y="0"/>
                      <a:ext cx="4048125" cy="666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r>
      <w:r>
        <w:br/>
      </w:r>
      <w:r>
        <w:br/>
      </w:r>
    </w:p>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r w:rsidRPr="0057133E">
        <w:rPr>
          <w:noProof/>
          <w:lang w:eastAsia="en-NZ"/>
        </w:rPr>
        <w:lastRenderedPageBreak/>
        <w:drawing>
          <wp:anchor distT="0" distB="0" distL="114300" distR="114300" simplePos="0" relativeHeight="251659264" behindDoc="1" locked="0" layoutInCell="1" allowOverlap="1" wp14:anchorId="71528C40" wp14:editId="06DB6BE4">
            <wp:simplePos x="0" y="0"/>
            <wp:positionH relativeFrom="column">
              <wp:posOffset>716280</wp:posOffset>
            </wp:positionH>
            <wp:positionV relativeFrom="paragraph">
              <wp:posOffset>-438150</wp:posOffset>
            </wp:positionV>
            <wp:extent cx="4198571" cy="58578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9406" t="12280" r="59874" b="11515"/>
                    <a:stretch/>
                  </pic:blipFill>
                  <pic:spPr bwMode="auto">
                    <a:xfrm>
                      <a:off x="0" y="0"/>
                      <a:ext cx="4198571" cy="585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6D26C9">
      <w:pPr>
        <w:tabs>
          <w:tab w:val="left" w:pos="3777"/>
          <w:tab w:val="left" w:pos="5556"/>
        </w:tabs>
      </w:pPr>
      <w:r>
        <w:rPr>
          <w:noProof/>
          <w:lang w:eastAsia="en-NZ"/>
        </w:rPr>
        <mc:AlternateContent>
          <mc:Choice Requires="wps">
            <w:drawing>
              <wp:anchor distT="0" distB="0" distL="114300" distR="114300" simplePos="0" relativeHeight="251661312" behindDoc="1" locked="0" layoutInCell="1" allowOverlap="1" wp14:anchorId="2AC6BEF4" wp14:editId="2598682A">
                <wp:simplePos x="0" y="0"/>
                <wp:positionH relativeFrom="column">
                  <wp:posOffset>1190625</wp:posOffset>
                </wp:positionH>
                <wp:positionV relativeFrom="paragraph">
                  <wp:posOffset>9525</wp:posOffset>
                </wp:positionV>
                <wp:extent cx="3266440"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3266440" cy="635"/>
                        </a:xfrm>
                        <a:prstGeom prst="rect">
                          <a:avLst/>
                        </a:prstGeom>
                        <a:solidFill>
                          <a:prstClr val="white"/>
                        </a:solidFill>
                        <a:ln>
                          <a:noFill/>
                        </a:ln>
                        <a:effectLst/>
                      </wps:spPr>
                      <wps:txbx>
                        <w:txbxContent>
                          <w:p w:rsidR="00015EDA" w:rsidRPr="007604EE" w:rsidRDefault="00015EDA" w:rsidP="00015EDA">
                            <w:pPr>
                              <w:pStyle w:val="Caption"/>
                              <w:jc w:val="center"/>
                              <w:rPr>
                                <w:noProof/>
                              </w:rPr>
                            </w:pPr>
                            <w:r>
                              <w:t xml:space="preserve">Figure </w:t>
                            </w:r>
                            <w:r w:rsidR="006D26C9">
                              <w:t>19</w:t>
                            </w:r>
                            <w:r>
                              <w:t xml:space="preserve">: </w:t>
                            </w:r>
                            <w:r w:rsidR="006D26C9">
                              <w:t>IP Protection routes [</w:t>
                            </w:r>
                            <w:r w:rsidRPr="001E3DB4">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C6BEF4" id="Text Box 3" o:spid="_x0000_s1029" type="#_x0000_t202" style="position:absolute;margin-left:93.75pt;margin-top:.75pt;width:257.2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" stroked="f">
                <v:textbox style="mso-fit-shape-to-text:t" inset="0,0,0,0">
                  <w:txbxContent>
                    <w:p w:rsidR="00015EDA" w:rsidRPr="007604EE" w:rsidRDefault="00015EDA" w:rsidP="00015EDA">
                      <w:pPr>
                        <w:pStyle w:val="Caption"/>
                        <w:jc w:val="center"/>
                        <w:rPr>
                          <w:noProof/>
                        </w:rPr>
                      </w:pPr>
                      <w:r>
                        <w:t xml:space="preserve">Figure </w:t>
                      </w:r>
                      <w:r w:rsidR="006D26C9">
                        <w:t>19</w:t>
                      </w:r>
                      <w:r>
                        <w:t xml:space="preserve">: </w:t>
                      </w:r>
                      <w:r w:rsidR="006D26C9">
                        <w:t>IP Protection routes [</w:t>
                      </w:r>
                      <w:r w:rsidRPr="001E3DB4">
                        <w:t>3]</w:t>
                      </w:r>
                    </w:p>
                  </w:txbxContent>
                </v:textbox>
              </v:shape>
            </w:pict>
          </mc:Fallback>
        </mc:AlternateContent>
      </w:r>
      <w:r w:rsidR="006D26C9">
        <w:tab/>
      </w:r>
    </w:p>
    <w:p w:rsidR="00015EDA" w:rsidRDefault="00015EDA" w:rsidP="00015EDA">
      <w:pPr>
        <w:pStyle w:val="Heading1"/>
      </w:pPr>
      <w:r>
        <w:t>6. Sustainability</w:t>
      </w:r>
    </w:p>
    <w:p w:rsidR="00015EDA" w:rsidRDefault="00015EDA" w:rsidP="00015EDA">
      <w:pPr>
        <w:pStyle w:val="NormalWeb"/>
        <w:spacing w:before="0" w:beforeAutospacing="0" w:after="160" w:afterAutospacing="0"/>
      </w:pPr>
      <w:r>
        <w:rPr>
          <w:rFonts w:ascii="Calibri" w:hAnsi="Calibri"/>
          <w:color w:val="000000"/>
          <w:sz w:val="22"/>
          <w:szCs w:val="22"/>
        </w:rPr>
        <w:t xml:space="preserve">Environmental Sustainability </w:t>
      </w:r>
    </w:p>
    <w:p w:rsidR="00015EDA" w:rsidRDefault="00015EDA" w:rsidP="00015EDA">
      <w:pPr>
        <w:pStyle w:val="Heading2"/>
        <w:ind w:firstLine="720"/>
      </w:pPr>
      <w:r>
        <w:t>6.1 Biogas motivation drivers</w:t>
      </w:r>
    </w:p>
    <w:p w:rsidR="00015EDA" w:rsidRDefault="00015EDA" w:rsidP="00015EDA">
      <w:pPr>
        <w:pStyle w:val="Heading3"/>
        <w:ind w:left="720" w:firstLine="720"/>
      </w:pPr>
      <w:r>
        <w:t xml:space="preserve">Farm Wastes </w:t>
      </w:r>
    </w:p>
    <w:p w:rsidR="00015EDA" w:rsidRDefault="00015EDA" w:rsidP="00015EDA">
      <w:pPr>
        <w:pStyle w:val="NormalWeb"/>
        <w:spacing w:before="0" w:beforeAutospacing="0" w:after="160" w:afterAutospacing="0"/>
        <w:jc w:val="both"/>
      </w:pPr>
      <w:r>
        <w:rPr>
          <w:rFonts w:ascii="Calibri" w:hAnsi="Calibri"/>
          <w:color w:val="000000"/>
          <w:sz w:val="22"/>
          <w:szCs w:val="22"/>
        </w:rPr>
        <w:t>Media coverage of pollution associated with animal waste on farms is increasing but rarely positive. Anaerobic digestion is a tool enabling better farm waste management on dairy farms. It offers a significant advantage in being able to minimise odours, make nutrients (nitrogen) contained in farm wastes more plant available, and allow for better timing of effluent land application. Biogas recovery from farm wastes remains one of the very few practical and economical ways of reducing agricultural greenhouse emissions.</w:t>
      </w:r>
    </w:p>
    <w:p w:rsidR="00015EDA" w:rsidRDefault="00015EDA" w:rsidP="00015EDA">
      <w:pPr>
        <w:pStyle w:val="Heading3"/>
        <w:ind w:left="720" w:firstLine="720"/>
      </w:pPr>
      <w:r>
        <w:t xml:space="preserve">Balance of trade </w:t>
      </w:r>
    </w:p>
    <w:p w:rsidR="00015EDA" w:rsidRDefault="00015EDA" w:rsidP="00015EDA">
      <w:pPr>
        <w:pStyle w:val="NormalWeb"/>
        <w:spacing w:before="0" w:beforeAutospacing="0" w:after="160" w:afterAutospacing="0"/>
        <w:jc w:val="both"/>
      </w:pPr>
      <w:r>
        <w:rPr>
          <w:rFonts w:ascii="Calibri" w:hAnsi="Calibri"/>
          <w:color w:val="000000"/>
          <w:sz w:val="22"/>
          <w:szCs w:val="22"/>
        </w:rPr>
        <w:t xml:space="preserve">Petroleum is New Zealand’s single biggest import category and is likely to increase in future years. Petroleum imports use up almost all export earnings made by the dairy sector. Every small step that helps to reduce our dependence on imported petroleum is therefore very valuable for addressing our biggest economic problem – the current account deficit. Biogas transport fuel is the most efficient and </w:t>
      </w:r>
      <w:r>
        <w:rPr>
          <w:rFonts w:ascii="Calibri" w:hAnsi="Calibri"/>
          <w:color w:val="000000"/>
          <w:sz w:val="22"/>
          <w:szCs w:val="22"/>
        </w:rPr>
        <w:lastRenderedPageBreak/>
        <w:t>effective transport biofuel available today and could help to substitute a meaningful amount of our petroleum imports and current account deficit. The use of methanol as a biofuel is outside the scope of this report, however there is a large amount of research and testing being conducted in this field for the use of methanol as a low emission alternative fuel source in cars, buses, aircraft and shipping.</w:t>
      </w:r>
    </w:p>
    <w:p w:rsidR="00015EDA" w:rsidRDefault="00015EDA" w:rsidP="00015EDA">
      <w:pPr>
        <w:pStyle w:val="Heading3"/>
        <w:ind w:left="720" w:firstLine="720"/>
      </w:pPr>
      <w:r>
        <w:t xml:space="preserve">Air Quality </w:t>
      </w:r>
    </w:p>
    <w:p w:rsidR="00015EDA" w:rsidRDefault="00015EDA" w:rsidP="00015EDA">
      <w:pPr>
        <w:pStyle w:val="NormalWeb"/>
        <w:spacing w:before="0" w:beforeAutospacing="0" w:after="160" w:afterAutospacing="0"/>
        <w:jc w:val="both"/>
      </w:pPr>
      <w:r>
        <w:rPr>
          <w:rFonts w:ascii="Calibri" w:hAnsi="Calibri"/>
          <w:color w:val="000000"/>
          <w:sz w:val="22"/>
          <w:szCs w:val="22"/>
        </w:rPr>
        <w:t>Biogas and methanol have the potential to be used in a number of situations to reduce emissions to air and improve local air quality. An example is the use of Dimethyl Ether, a methanol derivative that is being used in public buses as a clean-burning substitute for diesel fuel, or methanol as a marine fuel to help meet the shipping industry’s increasingly stringent emission regulations and improve global air and water quality.</w:t>
      </w:r>
    </w:p>
    <w:p w:rsidR="00015EDA" w:rsidRDefault="00015EDA" w:rsidP="00015EDA">
      <w:pPr>
        <w:pStyle w:val="Heading3"/>
        <w:ind w:left="720" w:firstLine="720"/>
      </w:pPr>
      <w:r>
        <w:t>Nutrient recycling and better waste management</w:t>
      </w:r>
    </w:p>
    <w:p w:rsidR="00015EDA" w:rsidRDefault="00015EDA" w:rsidP="00015EDA">
      <w:pPr>
        <w:pStyle w:val="NormalWeb"/>
        <w:spacing w:before="0" w:beforeAutospacing="0" w:after="160" w:afterAutospacing="0"/>
        <w:jc w:val="both"/>
      </w:pPr>
      <w:r>
        <w:rPr>
          <w:rFonts w:ascii="Calibri" w:hAnsi="Calibri"/>
          <w:color w:val="000000"/>
          <w:sz w:val="22"/>
          <w:szCs w:val="22"/>
        </w:rPr>
        <w:t>World phosphorus supplies are becoming increasingly scarce and less available, while the production of nitrogen fertilizers is an energy intensive process. Returning both P and N contained in digested originating from wastes that alternatively would have ended up in a landfill or waterway to agricultural land can therefore help to enhance our national phosphorus supply security, and preserve finite natural resources.</w:t>
      </w:r>
    </w:p>
    <w:p w:rsidR="00015EDA" w:rsidRDefault="006566FB" w:rsidP="00015EDA">
      <w:sdt>
        <w:sdtPr>
          <w:rPr>
            <w:rFonts w:ascii="Calibri" w:hAnsi="Calibri"/>
            <w:color w:val="000000"/>
          </w:rPr>
          <w:id w:val="556368060"/>
          <w:citation/>
        </w:sdtPr>
        <w:sdtEndPr/>
        <w:sdtContent>
          <w:r w:rsidR="00015EDA">
            <w:rPr>
              <w:rFonts w:ascii="Calibri" w:hAnsi="Calibri"/>
              <w:color w:val="000000"/>
            </w:rPr>
            <w:fldChar w:fldCharType="begin"/>
          </w:r>
          <w:r w:rsidR="00015EDA">
            <w:instrText xml:space="preserve"> CITATION BAN16 \l 5129 </w:instrText>
          </w:r>
          <w:r w:rsidR="00015EDA">
            <w:rPr>
              <w:rFonts w:ascii="Calibri" w:hAnsi="Calibri"/>
              <w:color w:val="000000"/>
            </w:rPr>
            <w:fldChar w:fldCharType="separate"/>
          </w:r>
          <w:r w:rsidR="006D26C9" w:rsidRPr="006D26C9">
            <w:rPr>
              <w:noProof/>
            </w:rPr>
            <w:t>[5]</w:t>
          </w:r>
          <w:r w:rsidR="00015EDA">
            <w:rPr>
              <w:rFonts w:ascii="Calibri" w:hAnsi="Calibri"/>
              <w:color w:val="000000"/>
            </w:rPr>
            <w:fldChar w:fldCharType="end"/>
          </w:r>
        </w:sdtContent>
      </w:sdt>
    </w:p>
    <w:p w:rsidR="00015EDA" w:rsidRDefault="00015EDA" w:rsidP="00015EDA"/>
    <w:p w:rsidR="00015EDA" w:rsidRDefault="00015EDA" w:rsidP="00015EDA"/>
    <w:p w:rsidR="00015EDA" w:rsidRDefault="00015EDA" w:rsidP="00015EDA"/>
    <w:p w:rsidR="00015EDA" w:rsidRDefault="00015EDA" w:rsidP="00015EDA"/>
    <w:p w:rsidR="00015EDA" w:rsidRDefault="00015EDA" w:rsidP="00015EDA"/>
    <w:p w:rsidR="00015EDA" w:rsidRDefault="00015EDA" w:rsidP="00015EDA">
      <w:pPr>
        <w:pStyle w:val="Heading1"/>
        <w:sectPr w:rsidR="00015EDA" w:rsidSect="00015EDA">
          <w:pgSz w:w="11906" w:h="16838"/>
          <w:pgMar w:top="1440" w:right="1440" w:bottom="1440" w:left="1440" w:header="708" w:footer="708" w:gutter="0"/>
          <w:cols w:space="708"/>
          <w:docGrid w:linePitch="360"/>
        </w:sectPr>
      </w:pPr>
    </w:p>
    <w:p w:rsidR="00015EDA" w:rsidRDefault="00015EDA" w:rsidP="00015EDA">
      <w:pPr>
        <w:pStyle w:val="Heading1"/>
      </w:pPr>
      <w:r>
        <w:lastRenderedPageBreak/>
        <w:t>7. Human Resources</w:t>
      </w:r>
    </w:p>
    <w:p w:rsidR="00015EDA" w:rsidRPr="006045BA" w:rsidRDefault="00015EDA" w:rsidP="00015EDA">
      <w:pPr>
        <w:pStyle w:val="Heading2"/>
        <w:ind w:firstLine="720"/>
      </w:pPr>
      <w:r>
        <w:t xml:space="preserve">7.1 </w:t>
      </w:r>
      <w:r w:rsidRPr="006045BA">
        <w:t>Company structure</w:t>
      </w:r>
    </w:p>
    <w:p w:rsidR="00015EDA" w:rsidRDefault="00015EDA" w:rsidP="00015EDA">
      <w:pPr>
        <w:keepNext/>
        <w:jc w:val="center"/>
      </w:pPr>
      <w:r>
        <w:rPr>
          <w:noProof/>
          <w:lang w:eastAsia="en-NZ"/>
        </w:rPr>
        <w:drawing>
          <wp:inline distT="0" distB="0" distL="0" distR="0" wp14:anchorId="62E0DEB5" wp14:editId="67CCC295">
            <wp:extent cx="8105775" cy="471526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9943" t="25409" r="20064" b="12546"/>
                    <a:stretch/>
                  </pic:blipFill>
                  <pic:spPr bwMode="auto">
                    <a:xfrm>
                      <a:off x="0" y="0"/>
                      <a:ext cx="8227396" cy="4786018"/>
                    </a:xfrm>
                    <a:prstGeom prst="rect">
                      <a:avLst/>
                    </a:prstGeom>
                    <a:ln>
                      <a:noFill/>
                    </a:ln>
                    <a:extLst>
                      <a:ext uri="{53640926-AAD7-44D8-BBD7-CCE9431645EC}">
                        <a14:shadowObscured xmlns:a14="http://schemas.microsoft.com/office/drawing/2010/main"/>
                      </a:ext>
                    </a:extLst>
                  </pic:spPr>
                </pic:pic>
              </a:graphicData>
            </a:graphic>
          </wp:inline>
        </w:drawing>
      </w:r>
    </w:p>
    <w:p w:rsidR="00015EDA" w:rsidRDefault="00015EDA" w:rsidP="00015EDA">
      <w:pPr>
        <w:pStyle w:val="Caption"/>
        <w:jc w:val="center"/>
      </w:pPr>
      <w:r>
        <w:t xml:space="preserve">Figure </w:t>
      </w:r>
      <w:r w:rsidR="006D26C9">
        <w:rPr>
          <w:noProof/>
        </w:rPr>
        <w:t>20</w:t>
      </w:r>
      <w:r>
        <w:t xml:space="preserve">: </w:t>
      </w:r>
      <w:r w:rsidRPr="00140CD6">
        <w:t>Human Resources Hierarchy</w:t>
      </w:r>
    </w:p>
    <w:p w:rsidR="00015EDA" w:rsidRDefault="00015EDA" w:rsidP="00015EDA">
      <w:pPr>
        <w:sectPr w:rsidR="00015EDA" w:rsidSect="00015EDA">
          <w:pgSz w:w="16838" w:h="11906" w:orient="landscape"/>
          <w:pgMar w:top="1440" w:right="1440" w:bottom="1440" w:left="1440" w:header="709" w:footer="709" w:gutter="0"/>
          <w:cols w:space="708"/>
          <w:docGrid w:linePitch="360"/>
        </w:sectPr>
      </w:pPr>
    </w:p>
    <w:p w:rsidR="00015EDA" w:rsidRPr="006045BA" w:rsidRDefault="00015EDA" w:rsidP="00015EDA">
      <w:pPr>
        <w:pStyle w:val="Heading2"/>
        <w:ind w:firstLine="720"/>
      </w:pPr>
      <w:r>
        <w:rPr>
          <w:rFonts w:ascii="Calibri" w:hAnsi="Calibri"/>
          <w:bCs/>
          <w:color w:val="2E75B5"/>
        </w:rPr>
        <w:lastRenderedPageBreak/>
        <w:t>7.2 Job Categories and skill sets</w:t>
      </w:r>
    </w:p>
    <w:p w:rsidR="00015EDA" w:rsidRDefault="00015EDA" w:rsidP="00015EDA">
      <w:pPr>
        <w:pStyle w:val="Heading3"/>
      </w:pPr>
      <w:r>
        <w:rPr>
          <w:rFonts w:ascii="Calibri" w:hAnsi="Calibri"/>
          <w:b/>
          <w:bCs/>
          <w:color w:val="1E4D78"/>
        </w:rPr>
        <w:t>Lead Project Engineer</w:t>
      </w:r>
    </w:p>
    <w:p w:rsidR="00015EDA" w:rsidRDefault="00015EDA" w:rsidP="00015EDA">
      <w:pPr>
        <w:pStyle w:val="NormalWeb"/>
        <w:spacing w:before="0" w:beforeAutospacing="0" w:after="160" w:afterAutospacing="0"/>
      </w:pPr>
      <w:r>
        <w:rPr>
          <w:rFonts w:ascii="Calibri" w:hAnsi="Calibri"/>
          <w:color w:val="000000"/>
          <w:sz w:val="22"/>
          <w:szCs w:val="22"/>
        </w:rPr>
        <w:t>A lead project engineer’s role is to act as the head of the engineering team working on the project. The lead project engineer takes on a general managing role and works closely with leaders from other departments</w:t>
      </w:r>
    </w:p>
    <w:p w:rsidR="00015EDA" w:rsidRDefault="00015EDA" w:rsidP="00015EDA">
      <w:pPr>
        <w:pStyle w:val="Heading3"/>
      </w:pPr>
      <w:r>
        <w:rPr>
          <w:rFonts w:ascii="Calibri" w:hAnsi="Calibri"/>
          <w:b/>
          <w:bCs/>
          <w:color w:val="1E4D78"/>
        </w:rPr>
        <w:t>Project Engineer</w:t>
      </w:r>
    </w:p>
    <w:p w:rsidR="00015EDA" w:rsidRDefault="00015EDA" w:rsidP="00015EDA">
      <w:pPr>
        <w:pStyle w:val="NormalWeb"/>
        <w:spacing w:before="0" w:beforeAutospacing="0" w:after="160" w:afterAutospacing="0"/>
      </w:pPr>
      <w:r>
        <w:rPr>
          <w:rFonts w:ascii="Calibri" w:hAnsi="Calibri"/>
          <w:color w:val="000000"/>
          <w:sz w:val="22"/>
          <w:szCs w:val="22"/>
        </w:rPr>
        <w:t>General engineering role acts as a bridge between different engineering roles, works on jobs which Lead project engineer is either too busy to do or over qualified</w:t>
      </w:r>
    </w:p>
    <w:p w:rsidR="00015EDA" w:rsidRDefault="00015EDA" w:rsidP="00015EDA">
      <w:pPr>
        <w:pStyle w:val="Heading3"/>
      </w:pPr>
      <w:r>
        <w:rPr>
          <w:rFonts w:ascii="Calibri" w:hAnsi="Calibri"/>
          <w:b/>
          <w:bCs/>
          <w:color w:val="1E4D78"/>
        </w:rPr>
        <w:t>Human Resource Manager</w:t>
      </w:r>
    </w:p>
    <w:p w:rsidR="00015EDA" w:rsidRDefault="00015EDA" w:rsidP="00015EDA">
      <w:pPr>
        <w:pStyle w:val="NormalWeb"/>
        <w:spacing w:before="0" w:beforeAutospacing="0" w:after="160" w:afterAutospacing="0"/>
      </w:pPr>
      <w:r>
        <w:rPr>
          <w:rFonts w:ascii="Calibri" w:hAnsi="Calibri"/>
          <w:color w:val="000000"/>
          <w:sz w:val="22"/>
          <w:szCs w:val="22"/>
        </w:rPr>
        <w:t>Responsible for all job recruitment, must work well with other team leaders and attract staff with the relevant high level of skills</w:t>
      </w:r>
    </w:p>
    <w:p w:rsidR="00015EDA" w:rsidRDefault="00015EDA" w:rsidP="00015EDA">
      <w:pPr>
        <w:pStyle w:val="Heading3"/>
      </w:pPr>
      <w:r>
        <w:rPr>
          <w:rFonts w:ascii="Calibri" w:hAnsi="Calibri"/>
          <w:b/>
          <w:bCs/>
          <w:color w:val="1E4D78"/>
        </w:rPr>
        <w:t>Methanol Specialist</w:t>
      </w:r>
    </w:p>
    <w:p w:rsidR="00015EDA" w:rsidRDefault="00015EDA" w:rsidP="00015EDA">
      <w:pPr>
        <w:pStyle w:val="NormalWeb"/>
        <w:spacing w:before="0" w:beforeAutospacing="0" w:after="160" w:afterAutospacing="0"/>
      </w:pPr>
      <w:r>
        <w:rPr>
          <w:rFonts w:ascii="Calibri" w:hAnsi="Calibri"/>
          <w:color w:val="000000"/>
          <w:sz w:val="22"/>
          <w:szCs w:val="22"/>
        </w:rPr>
        <w:t>Takes on a technical advisory role throughout the project and helps sell the project to would be investors and clients.</w:t>
      </w:r>
    </w:p>
    <w:p w:rsidR="00015EDA" w:rsidRDefault="00015EDA" w:rsidP="00015EDA">
      <w:pPr>
        <w:pStyle w:val="Heading3"/>
      </w:pPr>
      <w:r>
        <w:rPr>
          <w:rFonts w:ascii="Calibri" w:hAnsi="Calibri"/>
          <w:b/>
          <w:bCs/>
          <w:color w:val="1E4D78"/>
        </w:rPr>
        <w:t>Lawyer</w:t>
      </w:r>
    </w:p>
    <w:p w:rsidR="00015EDA" w:rsidRDefault="00015EDA" w:rsidP="00015EDA">
      <w:pPr>
        <w:pStyle w:val="NormalWeb"/>
        <w:spacing w:before="0" w:beforeAutospacing="0" w:after="160" w:afterAutospacing="0"/>
      </w:pPr>
      <w:r>
        <w:rPr>
          <w:rFonts w:ascii="Calibri" w:hAnsi="Calibri"/>
          <w:color w:val="000000"/>
          <w:sz w:val="22"/>
          <w:szCs w:val="22"/>
        </w:rPr>
        <w:t>Responsible for all contractual and legal matters, works with the lead project engineer to ensure that the project obeys all relevant laws. Also helps submit plans for government grants if the project qualifies for them.</w:t>
      </w:r>
    </w:p>
    <w:p w:rsidR="00015EDA" w:rsidRDefault="00015EDA" w:rsidP="00015EDA">
      <w:pPr>
        <w:pStyle w:val="Heading3"/>
      </w:pPr>
      <w:r>
        <w:rPr>
          <w:rFonts w:ascii="Calibri" w:hAnsi="Calibri"/>
          <w:b/>
          <w:bCs/>
          <w:color w:val="1E4D78"/>
        </w:rPr>
        <w:t>Mechanical Engineer</w:t>
      </w:r>
    </w:p>
    <w:p w:rsidR="00015EDA" w:rsidRDefault="00015EDA" w:rsidP="00015EDA">
      <w:pPr>
        <w:pStyle w:val="NormalWeb"/>
        <w:spacing w:before="0" w:beforeAutospacing="0" w:after="160" w:afterAutospacing="0"/>
      </w:pPr>
      <w:r>
        <w:rPr>
          <w:rFonts w:ascii="Calibri" w:hAnsi="Calibri"/>
          <w:color w:val="000000"/>
          <w:sz w:val="22"/>
          <w:szCs w:val="22"/>
        </w:rPr>
        <w:t>Responsible for installing and checking components of system, Responsible for maintaining scheduling</w:t>
      </w:r>
    </w:p>
    <w:p w:rsidR="00015EDA" w:rsidRDefault="00015EDA" w:rsidP="00015EDA">
      <w:pPr>
        <w:pStyle w:val="Heading3"/>
      </w:pPr>
      <w:r>
        <w:rPr>
          <w:rFonts w:ascii="Calibri" w:hAnsi="Calibri"/>
          <w:b/>
          <w:bCs/>
          <w:color w:val="1E4D78"/>
        </w:rPr>
        <w:t>Electrical Engineers</w:t>
      </w:r>
    </w:p>
    <w:p w:rsidR="00015EDA" w:rsidRDefault="00015EDA" w:rsidP="00015EDA">
      <w:pPr>
        <w:pStyle w:val="NormalWeb"/>
        <w:spacing w:before="0" w:beforeAutospacing="0" w:after="160" w:afterAutospacing="0"/>
      </w:pPr>
      <w:r>
        <w:rPr>
          <w:rFonts w:ascii="Calibri" w:hAnsi="Calibri"/>
          <w:color w:val="000000"/>
          <w:sz w:val="22"/>
          <w:szCs w:val="22"/>
        </w:rPr>
        <w:t>Responsible for installing electrical components in the system. Will implement and develop user systems and interfaces</w:t>
      </w:r>
    </w:p>
    <w:p w:rsidR="00015EDA" w:rsidRDefault="00015EDA" w:rsidP="00015EDA">
      <w:pPr>
        <w:pStyle w:val="Heading3"/>
      </w:pPr>
      <w:r>
        <w:rPr>
          <w:rFonts w:ascii="Calibri" w:hAnsi="Calibri"/>
          <w:b/>
          <w:bCs/>
          <w:color w:val="1E4D78"/>
        </w:rPr>
        <w:t>Chemical Process Engineers</w:t>
      </w:r>
    </w:p>
    <w:p w:rsidR="00015EDA" w:rsidRDefault="00015EDA" w:rsidP="00015EDA">
      <w:pPr>
        <w:pStyle w:val="NormalWeb"/>
        <w:spacing w:before="0" w:beforeAutospacing="0" w:after="160" w:afterAutospacing="0"/>
      </w:pPr>
      <w:r>
        <w:rPr>
          <w:rFonts w:ascii="Calibri" w:hAnsi="Calibri"/>
          <w:color w:val="000000"/>
          <w:sz w:val="22"/>
          <w:szCs w:val="22"/>
        </w:rPr>
        <w:t>Responsible for ensuring that all the system components are connected properly and the system as a whole preforms the job it’s intended to do.</w:t>
      </w:r>
    </w:p>
    <w:p w:rsidR="00015EDA" w:rsidRDefault="00015EDA" w:rsidP="00015EDA">
      <w:pPr>
        <w:pStyle w:val="Heading3"/>
      </w:pPr>
      <w:r>
        <w:rPr>
          <w:rFonts w:ascii="Calibri" w:hAnsi="Calibri"/>
          <w:b/>
          <w:bCs/>
          <w:color w:val="1E4D78"/>
        </w:rPr>
        <w:t>Civil Engineers</w:t>
      </w:r>
    </w:p>
    <w:p w:rsidR="00015EDA" w:rsidRDefault="00015EDA" w:rsidP="00015EDA">
      <w:pPr>
        <w:pStyle w:val="NormalWeb"/>
        <w:spacing w:before="0" w:beforeAutospacing="0" w:after="160" w:afterAutospacing="0"/>
      </w:pPr>
      <w:r>
        <w:rPr>
          <w:rFonts w:ascii="Calibri" w:hAnsi="Calibri"/>
          <w:color w:val="000000"/>
          <w:sz w:val="22"/>
          <w:szCs w:val="22"/>
        </w:rPr>
        <w:t>Responsible for planning and overseeing the building of the plant as well as designing any infrastructure that needs to be put in place (foundations etc.)</w:t>
      </w:r>
    </w:p>
    <w:p w:rsidR="00015EDA" w:rsidRDefault="00015EDA" w:rsidP="00015EDA">
      <w:pPr>
        <w:pStyle w:val="Heading3"/>
      </w:pPr>
      <w:r>
        <w:rPr>
          <w:rFonts w:ascii="Calibri" w:hAnsi="Calibri"/>
          <w:b/>
          <w:bCs/>
          <w:color w:val="1E4D78"/>
        </w:rPr>
        <w:t>Marketing Manager</w:t>
      </w:r>
    </w:p>
    <w:p w:rsidR="00015EDA" w:rsidRDefault="00015EDA" w:rsidP="00015EDA">
      <w:pPr>
        <w:pStyle w:val="NormalWeb"/>
        <w:spacing w:before="0" w:beforeAutospacing="0" w:after="160" w:afterAutospacing="0"/>
      </w:pPr>
      <w:r>
        <w:rPr>
          <w:rFonts w:ascii="Calibri" w:hAnsi="Calibri"/>
          <w:color w:val="000000"/>
          <w:sz w:val="22"/>
          <w:szCs w:val="22"/>
        </w:rPr>
        <w:t xml:space="preserve">Responsible for designing and implementing a marketing strategy, will work closers with PR manager and economic analysis. </w:t>
      </w:r>
    </w:p>
    <w:p w:rsidR="00015EDA" w:rsidRDefault="00015EDA" w:rsidP="00015EDA">
      <w:pPr>
        <w:pStyle w:val="Heading3"/>
      </w:pPr>
      <w:r>
        <w:rPr>
          <w:rFonts w:ascii="Calibri" w:hAnsi="Calibri"/>
          <w:b/>
          <w:bCs/>
          <w:color w:val="1E4D78"/>
        </w:rPr>
        <w:t>Secretary</w:t>
      </w:r>
    </w:p>
    <w:p w:rsidR="00015EDA" w:rsidRDefault="00015EDA" w:rsidP="00015EDA">
      <w:pPr>
        <w:pStyle w:val="NormalWeb"/>
        <w:spacing w:before="0" w:beforeAutospacing="0" w:after="160" w:afterAutospacing="0"/>
      </w:pPr>
      <w:r>
        <w:rPr>
          <w:rFonts w:ascii="Calibri" w:hAnsi="Calibri"/>
          <w:color w:val="000000"/>
          <w:sz w:val="22"/>
          <w:szCs w:val="22"/>
        </w:rPr>
        <w:t>During periods of high work volume it will be the secretary’s job to assist the Lead project engineer, HR and PR manger with administration work.</w:t>
      </w:r>
    </w:p>
    <w:p w:rsidR="00015EDA" w:rsidRDefault="00015EDA" w:rsidP="00015EDA">
      <w:pPr>
        <w:pStyle w:val="Heading3"/>
      </w:pPr>
      <w:r>
        <w:rPr>
          <w:rFonts w:ascii="Calibri" w:hAnsi="Calibri"/>
          <w:b/>
          <w:bCs/>
          <w:color w:val="1E4D78"/>
        </w:rPr>
        <w:t>Methanol Company Employee</w:t>
      </w:r>
    </w:p>
    <w:p w:rsidR="00015EDA" w:rsidRDefault="00015EDA" w:rsidP="00015EDA">
      <w:pPr>
        <w:pStyle w:val="NormalWeb"/>
        <w:spacing w:before="0" w:beforeAutospacing="0" w:after="160" w:afterAutospacing="0"/>
      </w:pPr>
      <w:r>
        <w:rPr>
          <w:rFonts w:ascii="Calibri" w:hAnsi="Calibri"/>
          <w:color w:val="000000"/>
          <w:sz w:val="22"/>
          <w:szCs w:val="22"/>
        </w:rPr>
        <w:t>General Project worker, duties include helping PR and HR managers with work.</w:t>
      </w:r>
    </w:p>
    <w:p w:rsidR="00015EDA" w:rsidRDefault="00015EDA" w:rsidP="00015EDA">
      <w:pPr>
        <w:pStyle w:val="Heading3"/>
      </w:pPr>
      <w:r>
        <w:rPr>
          <w:rFonts w:ascii="Calibri" w:hAnsi="Calibri"/>
          <w:b/>
          <w:bCs/>
          <w:color w:val="1E4D78"/>
        </w:rPr>
        <w:t>Economic Analysis</w:t>
      </w:r>
    </w:p>
    <w:p w:rsidR="00015EDA" w:rsidRDefault="00015EDA" w:rsidP="00015EDA">
      <w:pPr>
        <w:pStyle w:val="NormalWeb"/>
        <w:spacing w:before="0" w:beforeAutospacing="0" w:after="160" w:afterAutospacing="0"/>
      </w:pPr>
      <w:r>
        <w:rPr>
          <w:rFonts w:ascii="Calibri" w:hAnsi="Calibri"/>
          <w:color w:val="000000"/>
          <w:sz w:val="22"/>
          <w:szCs w:val="22"/>
        </w:rPr>
        <w:t>Responsible for keeping up to date with market affairs and providing economical information to project leaders so they can make informed business decisions</w:t>
      </w:r>
    </w:p>
    <w:p w:rsidR="00015EDA" w:rsidRDefault="00015EDA" w:rsidP="00015EDA">
      <w:pPr>
        <w:pStyle w:val="Heading3"/>
      </w:pPr>
      <w:r>
        <w:rPr>
          <w:rFonts w:ascii="Calibri" w:hAnsi="Calibri"/>
          <w:b/>
          <w:bCs/>
          <w:color w:val="1E4D78"/>
        </w:rPr>
        <w:lastRenderedPageBreak/>
        <w:t>Public Relations Manager</w:t>
      </w:r>
    </w:p>
    <w:p w:rsidR="00015EDA" w:rsidRDefault="00015EDA" w:rsidP="00015EDA">
      <w:pPr>
        <w:pStyle w:val="NormalWeb"/>
        <w:spacing w:before="0" w:beforeAutospacing="0" w:after="160" w:afterAutospacing="0"/>
      </w:pPr>
      <w:r>
        <w:rPr>
          <w:rFonts w:ascii="Calibri" w:hAnsi="Calibri"/>
          <w:color w:val="000000"/>
          <w:sz w:val="22"/>
          <w:szCs w:val="22"/>
        </w:rPr>
        <w:t>Responsible for any interaction with people from outside the company, whose main goal is to ensure good public, investor and government opinion about the project and company.</w:t>
      </w:r>
    </w:p>
    <w:p w:rsidR="00015EDA" w:rsidRDefault="00015EDA" w:rsidP="00015EDA">
      <w:pPr>
        <w:pStyle w:val="Heading3"/>
      </w:pPr>
      <w:r>
        <w:rPr>
          <w:rFonts w:ascii="Calibri" w:hAnsi="Calibri"/>
          <w:b/>
          <w:bCs/>
          <w:color w:val="1E4D78"/>
        </w:rPr>
        <w:t>Contractors</w:t>
      </w:r>
    </w:p>
    <w:p w:rsidR="00015EDA" w:rsidRDefault="00015EDA" w:rsidP="00015EDA">
      <w:pPr>
        <w:pStyle w:val="NormalWeb"/>
        <w:spacing w:before="0" w:beforeAutospacing="0" w:after="160" w:afterAutospacing="0"/>
      </w:pPr>
      <w:r>
        <w:rPr>
          <w:rFonts w:ascii="Calibri" w:hAnsi="Calibri"/>
          <w:color w:val="000000"/>
          <w:sz w:val="22"/>
          <w:szCs w:val="22"/>
        </w:rPr>
        <w:t>Responsible for putting together the infrastructure of each system such as laying pipes or foundations.</w:t>
      </w:r>
    </w:p>
    <w:p w:rsidR="00015EDA" w:rsidRDefault="00015EDA" w:rsidP="00015EDA">
      <w:pPr>
        <w:pStyle w:val="Heading3"/>
      </w:pPr>
      <w:r>
        <w:rPr>
          <w:rFonts w:ascii="Calibri" w:hAnsi="Calibri"/>
          <w:b/>
          <w:bCs/>
          <w:color w:val="1E4D78"/>
        </w:rPr>
        <w:t>Research and Design Engineer</w:t>
      </w:r>
    </w:p>
    <w:p w:rsidR="00015EDA" w:rsidRDefault="00015EDA" w:rsidP="00015EDA">
      <w:pPr>
        <w:pStyle w:val="NormalWeb"/>
        <w:spacing w:before="0" w:beforeAutospacing="0" w:after="160" w:afterAutospacing="0"/>
      </w:pPr>
      <w:r>
        <w:rPr>
          <w:rFonts w:ascii="Calibri" w:hAnsi="Calibri"/>
          <w:color w:val="000000"/>
          <w:sz w:val="22"/>
          <w:szCs w:val="22"/>
        </w:rPr>
        <w:t>Works in R&amp;D department of the project, primary role is to improve components or processes to make them more efficient or cost effective</w:t>
      </w:r>
    </w:p>
    <w:p w:rsidR="00015EDA" w:rsidRDefault="00015EDA" w:rsidP="00015EDA">
      <w:pPr>
        <w:pStyle w:val="Heading3"/>
      </w:pPr>
      <w:r>
        <w:rPr>
          <w:rFonts w:ascii="Calibri" w:hAnsi="Calibri"/>
          <w:b/>
          <w:bCs/>
          <w:color w:val="1E4D78"/>
        </w:rPr>
        <w:t xml:space="preserve">Workshop Technician </w:t>
      </w:r>
    </w:p>
    <w:p w:rsidR="00015EDA" w:rsidRDefault="00015EDA" w:rsidP="00015EDA">
      <w:pPr>
        <w:pStyle w:val="NormalWeb"/>
        <w:spacing w:before="0" w:beforeAutospacing="0" w:after="160" w:afterAutospacing="0"/>
        <w:rPr>
          <w:rFonts w:ascii="Calibri" w:hAnsi="Calibri"/>
          <w:color w:val="000000"/>
          <w:sz w:val="22"/>
          <w:szCs w:val="22"/>
        </w:rPr>
      </w:pPr>
      <w:r>
        <w:rPr>
          <w:rFonts w:ascii="Calibri" w:hAnsi="Calibri"/>
          <w:color w:val="000000"/>
          <w:sz w:val="22"/>
          <w:szCs w:val="22"/>
        </w:rPr>
        <w:t>Builds and designs specific components and tools required for prototype before they can be mass produced</w:t>
      </w:r>
    </w:p>
    <w:p w:rsidR="00015EDA" w:rsidRDefault="00015EDA" w:rsidP="00015EDA">
      <w:pPr>
        <w:pStyle w:val="Heading2"/>
        <w:ind w:firstLine="720"/>
      </w:pPr>
      <w:r>
        <w:t>7.3 Full-time equivalent employee breakdown</w:t>
      </w:r>
    </w:p>
    <w:p w:rsidR="00015EDA" w:rsidRPr="001854B0" w:rsidRDefault="00015EDA" w:rsidP="00015EDA">
      <w:pPr>
        <w:jc w:val="both"/>
      </w:pPr>
      <w:r w:rsidRPr="002D13EE">
        <w:rPr>
          <w:rFonts w:ascii="Calibri" w:eastAsia="Times New Roman" w:hAnsi="Calibri" w:cs="Times New Roman"/>
          <w:color w:val="000000"/>
          <w:lang w:eastAsia="en-NZ"/>
        </w:rPr>
        <w:t>Highlighted in Blue are the employees that have worked enough hours to be classed as full time workers. Full time workers are classed as people that work at least 40 hour weeks 48 weeks of the year (1920hrs). Highlighted in yellow are workers that have not reached that limit. Just because this limit has been reached it doesn’t mean that they cannot be hired full time. Employees that are close to the 1920hr freehold (PR Manager, 2019) could be considered for full time hire as it would allow them to focus solely on this project throughout the year and allow for lee way should certain tasks take longer than originally thought.</w:t>
      </w:r>
    </w:p>
    <w:p w:rsidR="00015EDA" w:rsidRDefault="00015EDA" w:rsidP="00015EDA">
      <w:pPr>
        <w:pStyle w:val="NormalWeb"/>
        <w:spacing w:before="0" w:beforeAutospacing="0" w:after="160" w:afterAutospacing="0"/>
        <w:rPr>
          <w:rFonts w:ascii="Calibri" w:hAnsi="Calibri"/>
          <w:color w:val="000000"/>
          <w:sz w:val="22"/>
          <w:szCs w:val="22"/>
        </w:rPr>
      </w:pPr>
    </w:p>
    <w:p w:rsidR="00015EDA" w:rsidRDefault="00015EDA" w:rsidP="00015EDA">
      <w:pPr>
        <w:sectPr w:rsidR="00015EDA" w:rsidSect="00015EDA">
          <w:pgSz w:w="11906" w:h="16838"/>
          <w:pgMar w:top="1440" w:right="1440" w:bottom="1440" w:left="1440" w:header="709" w:footer="709" w:gutter="0"/>
          <w:cols w:space="708"/>
          <w:docGrid w:linePitch="360"/>
        </w:sectPr>
      </w:pPr>
    </w:p>
    <w:p w:rsidR="00015EDA" w:rsidRPr="002D13EE" w:rsidRDefault="00015EDA" w:rsidP="00015EDA">
      <w:pPr>
        <w:spacing w:after="0" w:line="240" w:lineRule="auto"/>
        <w:rPr>
          <w:rFonts w:ascii="Times New Roman" w:eastAsia="Times New Roman" w:hAnsi="Times New Roman" w:cs="Times New Roman"/>
          <w:sz w:val="24"/>
          <w:szCs w:val="24"/>
          <w:lang w:eastAsia="en-NZ"/>
        </w:rPr>
      </w:pPr>
    </w:p>
    <w:p w:rsidR="00015EDA" w:rsidRDefault="00015EDA" w:rsidP="00015EDA">
      <w:pPr>
        <w:pStyle w:val="Caption"/>
        <w:keepNext/>
        <w:jc w:val="center"/>
      </w:pPr>
      <w:r>
        <w:t xml:space="preserve">Table </w:t>
      </w:r>
      <w:r w:rsidR="006D26C9">
        <w:t>8</w:t>
      </w:r>
      <w:r>
        <w:t>: Full time equivalent breakdown</w:t>
      </w:r>
    </w:p>
    <w:tbl>
      <w:tblPr>
        <w:tblW w:w="15648" w:type="dxa"/>
        <w:tblInd w:w="-717" w:type="dxa"/>
        <w:tblCellMar>
          <w:top w:w="15" w:type="dxa"/>
          <w:left w:w="15" w:type="dxa"/>
          <w:bottom w:w="15" w:type="dxa"/>
          <w:right w:w="15" w:type="dxa"/>
        </w:tblCellMar>
        <w:tblLook w:val="04A0" w:firstRow="1" w:lastRow="0" w:firstColumn="1" w:lastColumn="0" w:noHBand="0" w:noVBand="1"/>
      </w:tblPr>
      <w:tblGrid>
        <w:gridCol w:w="1792"/>
        <w:gridCol w:w="1338"/>
        <w:gridCol w:w="1090"/>
        <w:gridCol w:w="1090"/>
        <w:gridCol w:w="1089"/>
        <w:gridCol w:w="1089"/>
        <w:gridCol w:w="1089"/>
        <w:gridCol w:w="1089"/>
        <w:gridCol w:w="1089"/>
        <w:gridCol w:w="1089"/>
        <w:gridCol w:w="1089"/>
        <w:gridCol w:w="1089"/>
        <w:gridCol w:w="1574"/>
        <w:gridCol w:w="52"/>
      </w:tblGrid>
      <w:tr w:rsidR="00015EDA" w:rsidRPr="002D13EE" w:rsidTr="00015EDA">
        <w:trPr>
          <w:gridAfter w:val="1"/>
          <w:wAfter w:w="43" w:type="dxa"/>
          <w:trHeight w:val="196"/>
        </w:trPr>
        <w:tc>
          <w:tcPr>
            <w:tcW w:w="1791" w:type="dxa"/>
            <w:tcBorders>
              <w:top w:val="single" w:sz="6" w:space="0" w:color="000000"/>
              <w:left w:val="single" w:sz="6" w:space="0" w:color="000000"/>
              <w:bottom w:val="single" w:sz="6" w:space="0" w:color="000000"/>
              <w:right w:val="single" w:sz="6" w:space="0" w:color="000000"/>
            </w:tcBorders>
            <w:shd w:val="clear" w:color="auto" w:fill="DFE3E8"/>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p>
        </w:tc>
        <w:tc>
          <w:tcPr>
            <w:tcW w:w="13814" w:type="dxa"/>
            <w:gridSpan w:val="1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Hours Worked</w:t>
            </w:r>
          </w:p>
        </w:tc>
      </w:tr>
      <w:tr w:rsidR="00015EDA" w:rsidRPr="002D13EE" w:rsidTr="00015EDA">
        <w:trPr>
          <w:trHeight w:val="196"/>
        </w:trPr>
        <w:tc>
          <w:tcPr>
            <w:tcW w:w="1791" w:type="dxa"/>
            <w:tcBorders>
              <w:top w:val="single" w:sz="6" w:space="0" w:color="000000"/>
              <w:left w:val="single" w:sz="6" w:space="0" w:color="000000"/>
              <w:bottom w:val="single" w:sz="6" w:space="0" w:color="000000"/>
              <w:right w:val="single" w:sz="6" w:space="0" w:color="000000"/>
            </w:tcBorders>
            <w:shd w:val="clear" w:color="auto" w:fill="DFE3E8"/>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Quattrocento Sans" w:eastAsia="Times New Roman" w:hAnsi="Quattrocento Sans" w:cs="Times New Roman"/>
                <w:b/>
                <w:bCs/>
                <w:color w:val="363636"/>
                <w:sz w:val="16"/>
                <w:szCs w:val="16"/>
                <w:lang w:eastAsia="en-NZ"/>
              </w:rPr>
              <w:t>Resource Name</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2016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2017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2018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2019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2020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2021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2022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2023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2024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2025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2026</w:t>
            </w:r>
          </w:p>
        </w:tc>
        <w:tc>
          <w:tcPr>
            <w:tcW w:w="11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2027</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183"/>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Secretary</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473.95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11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183"/>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Lead Project Engineer</w:t>
            </w:r>
          </w:p>
        </w:tc>
        <w:tc>
          <w:tcPr>
            <w:tcW w:w="990" w:type="dxa"/>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436.80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873.15</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240.00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1,208.00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2,096.00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2,088.00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448.00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11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183"/>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Administration assistant</w:t>
            </w:r>
          </w:p>
        </w:tc>
        <w:tc>
          <w:tcPr>
            <w:tcW w:w="990" w:type="dxa"/>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504.00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56.00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11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183"/>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Project Engineer</w:t>
            </w:r>
          </w:p>
        </w:tc>
        <w:tc>
          <w:tcPr>
            <w:tcW w:w="990" w:type="dxa"/>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448.00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963.60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745.03</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1,221.20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2,096.00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2,088.00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448.00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11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380"/>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Methanex General employee team</w:t>
            </w:r>
          </w:p>
        </w:tc>
        <w:tc>
          <w:tcPr>
            <w:tcW w:w="990" w:type="dxa"/>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112.00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11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183"/>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proofErr w:type="spellStart"/>
            <w:r w:rsidRPr="002D13EE">
              <w:rPr>
                <w:rFonts w:ascii="Calibri" w:eastAsia="Times New Roman" w:hAnsi="Calibri" w:cs="Times New Roman"/>
                <w:b/>
                <w:bCs/>
                <w:color w:val="000000"/>
                <w:sz w:val="16"/>
                <w:szCs w:val="16"/>
                <w:lang w:eastAsia="en-NZ"/>
              </w:rPr>
              <w:t>Economical</w:t>
            </w:r>
            <w:proofErr w:type="spellEnd"/>
            <w:r w:rsidRPr="002D13EE">
              <w:rPr>
                <w:rFonts w:ascii="Calibri" w:eastAsia="Times New Roman" w:hAnsi="Calibri" w:cs="Times New Roman"/>
                <w:b/>
                <w:bCs/>
                <w:color w:val="000000"/>
                <w:sz w:val="16"/>
                <w:szCs w:val="16"/>
                <w:lang w:eastAsia="en-NZ"/>
              </w:rPr>
              <w:t xml:space="preserve"> Analysis</w:t>
            </w:r>
          </w:p>
        </w:tc>
        <w:tc>
          <w:tcPr>
            <w:tcW w:w="990" w:type="dxa"/>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328.00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1,168.00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2,088.00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40.00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11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183"/>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proofErr w:type="spellStart"/>
            <w:r w:rsidRPr="002D13EE">
              <w:rPr>
                <w:rFonts w:ascii="Calibri" w:eastAsia="Times New Roman" w:hAnsi="Calibri" w:cs="Times New Roman"/>
                <w:b/>
                <w:bCs/>
                <w:color w:val="000000"/>
                <w:sz w:val="16"/>
                <w:szCs w:val="16"/>
                <w:lang w:eastAsia="en-NZ"/>
              </w:rPr>
              <w:t>Economical</w:t>
            </w:r>
            <w:proofErr w:type="spellEnd"/>
            <w:r w:rsidRPr="002D13EE">
              <w:rPr>
                <w:rFonts w:ascii="Calibri" w:eastAsia="Times New Roman" w:hAnsi="Calibri" w:cs="Times New Roman"/>
                <w:b/>
                <w:bCs/>
                <w:color w:val="000000"/>
                <w:sz w:val="16"/>
                <w:szCs w:val="16"/>
                <w:lang w:eastAsia="en-NZ"/>
              </w:rPr>
              <w:t xml:space="preserve"> Analysis 2</w:t>
            </w:r>
          </w:p>
        </w:tc>
        <w:tc>
          <w:tcPr>
            <w:tcW w:w="990" w:type="dxa"/>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328.00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1,224.00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2,088.00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40.00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11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183"/>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Human resource Manager</w:t>
            </w:r>
          </w:p>
        </w:tc>
        <w:tc>
          <w:tcPr>
            <w:tcW w:w="990" w:type="dxa"/>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332.48</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187.33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11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183"/>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Methanol specialist</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504.55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11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183"/>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PR Manager</w:t>
            </w:r>
          </w:p>
        </w:tc>
        <w:tc>
          <w:tcPr>
            <w:tcW w:w="990" w:type="dxa"/>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464.00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652.27</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352.00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1,528.00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2,096.00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2,088.00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2,088.00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1,304.00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1,048.00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1,044.00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1,044.00</w:t>
            </w:r>
          </w:p>
        </w:tc>
        <w:tc>
          <w:tcPr>
            <w:tcW w:w="1165" w:type="dxa"/>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716.00</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183"/>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PR Manager 2</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1,208.00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2,096.00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2,088.00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2,088.00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2,080.00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2,096.00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2,088.00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2,088.00</w:t>
            </w:r>
          </w:p>
        </w:tc>
        <w:tc>
          <w:tcPr>
            <w:tcW w:w="1165" w:type="dxa"/>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1,432.00</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183"/>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Lawyer</w:t>
            </w:r>
          </w:p>
        </w:tc>
        <w:tc>
          <w:tcPr>
            <w:tcW w:w="990" w:type="dxa"/>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242.88</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844.57</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352.00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11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183"/>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Marketing Manager</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240.00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1,528.00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2,096.00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2,088.00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2,088.00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1,304.00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1,048.00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1,044.00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1,044.00</w:t>
            </w:r>
          </w:p>
        </w:tc>
        <w:tc>
          <w:tcPr>
            <w:tcW w:w="1165" w:type="dxa"/>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716.00</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183"/>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Marketing Manager 2</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1,208.00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2,096.00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2,088.00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2,088.00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2,080.00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2,096.00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2,088.00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2,088.00</w:t>
            </w:r>
          </w:p>
        </w:tc>
        <w:tc>
          <w:tcPr>
            <w:tcW w:w="1165" w:type="dxa"/>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1,432.00</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183"/>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 xml:space="preserve">Contractors </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168.00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11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183"/>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Civil Engineering team</w:t>
            </w:r>
          </w:p>
        </w:tc>
        <w:tc>
          <w:tcPr>
            <w:tcW w:w="990" w:type="dxa"/>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224.00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384.00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168.00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11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183"/>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Head Civil Engineer</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384.00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224.00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11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232"/>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Chemical Engineering team</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952.00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1,768.00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2,096.00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2,088.00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448.00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11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183"/>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Head Chemical Engineer</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224.00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1,208.00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2,096.00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2,088.00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448.00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11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232"/>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Mechanical Engineering team</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168.00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11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282"/>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Head Mechanical Engineer</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224.00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11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183"/>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Workshop technician</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480.00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248.00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11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r w:rsidR="00015EDA" w:rsidRPr="002D13EE" w:rsidTr="00015EDA">
        <w:trPr>
          <w:trHeight w:val="183"/>
        </w:trPr>
        <w:tc>
          <w:tcPr>
            <w:tcW w:w="17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015EDA" w:rsidRPr="002D13EE" w:rsidRDefault="00015EDA" w:rsidP="00015EDA">
            <w:pPr>
              <w:spacing w:after="0" w:line="240" w:lineRule="auto"/>
              <w:rPr>
                <w:rFonts w:ascii="Times New Roman" w:eastAsia="Times New Roman" w:hAnsi="Times New Roman" w:cs="Times New Roman"/>
                <w:sz w:val="24"/>
                <w:szCs w:val="24"/>
                <w:lang w:eastAsia="en-NZ"/>
              </w:rPr>
            </w:pPr>
            <w:r w:rsidRPr="002D13EE">
              <w:rPr>
                <w:rFonts w:ascii="Calibri" w:eastAsia="Times New Roman" w:hAnsi="Calibri" w:cs="Times New Roman"/>
                <w:b/>
                <w:bCs/>
                <w:color w:val="000000"/>
                <w:sz w:val="16"/>
                <w:szCs w:val="16"/>
                <w:lang w:eastAsia="en-NZ"/>
              </w:rPr>
              <w:t>R&amp;D Engineer</w:t>
            </w:r>
          </w:p>
        </w:tc>
        <w:tc>
          <w:tcPr>
            <w:tcW w:w="9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480.00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2088.00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1248.00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2096.00</w:t>
            </w:r>
          </w:p>
        </w:tc>
        <w:tc>
          <w:tcPr>
            <w:tcW w:w="0" w:type="auto"/>
            <w:tcBorders>
              <w:top w:val="single" w:sz="6" w:space="0" w:color="000000"/>
              <w:left w:val="single" w:sz="6" w:space="0" w:color="000000"/>
              <w:bottom w:val="single" w:sz="6" w:space="0" w:color="000000"/>
              <w:right w:val="single" w:sz="6" w:space="0" w:color="000000"/>
            </w:tcBorders>
            <w:shd w:val="clear" w:color="auto" w:fill="0070C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2088.00</w:t>
            </w:r>
          </w:p>
        </w:tc>
        <w:tc>
          <w:tcPr>
            <w:tcW w:w="0" w:type="auto"/>
            <w:tcBorders>
              <w:top w:val="single" w:sz="6" w:space="0" w:color="000000"/>
              <w:left w:val="single" w:sz="6" w:space="0" w:color="000000"/>
              <w:bottom w:val="single" w:sz="6" w:space="0" w:color="000000"/>
              <w:right w:val="single" w:sz="6" w:space="0" w:color="000000"/>
            </w:tcBorders>
            <w:shd w:val="clear" w:color="auto" w:fill="FFC000"/>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448.00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11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15EDA" w:rsidRPr="002D13EE" w:rsidRDefault="00015EDA" w:rsidP="00015EDA">
            <w:pPr>
              <w:spacing w:after="0" w:line="240" w:lineRule="auto"/>
              <w:jc w:val="center"/>
              <w:rPr>
                <w:rFonts w:ascii="Times New Roman" w:eastAsia="Times New Roman" w:hAnsi="Times New Roman" w:cs="Times New Roman"/>
                <w:sz w:val="24"/>
                <w:szCs w:val="24"/>
                <w:lang w:eastAsia="en-NZ"/>
              </w:rPr>
            </w:pPr>
            <w:r w:rsidRPr="002D13EE">
              <w:rPr>
                <w:rFonts w:ascii="Calibri" w:eastAsia="Times New Roman" w:hAnsi="Calibri" w:cs="Times New Roman"/>
                <w:color w:val="000000"/>
                <w:sz w:val="16"/>
                <w:szCs w:val="16"/>
                <w:lang w:eastAsia="en-NZ"/>
              </w:rPr>
              <w:t> </w:t>
            </w:r>
          </w:p>
        </w:tc>
        <w:tc>
          <w:tcPr>
            <w:tcW w:w="52" w:type="dxa"/>
            <w:vAlign w:val="center"/>
            <w:hideMark/>
          </w:tcPr>
          <w:p w:rsidR="00015EDA" w:rsidRPr="002D13EE" w:rsidRDefault="00015EDA" w:rsidP="00015EDA">
            <w:pPr>
              <w:spacing w:after="0" w:line="240" w:lineRule="auto"/>
              <w:rPr>
                <w:rFonts w:ascii="Times New Roman" w:eastAsia="Times New Roman" w:hAnsi="Times New Roman" w:cs="Times New Roman"/>
                <w:sz w:val="20"/>
                <w:szCs w:val="20"/>
                <w:lang w:eastAsia="en-NZ"/>
              </w:rPr>
            </w:pPr>
          </w:p>
        </w:tc>
      </w:tr>
    </w:tbl>
    <w:p w:rsidR="00015EDA" w:rsidRDefault="00015EDA" w:rsidP="00015EDA"/>
    <w:p w:rsidR="001E1FB8" w:rsidRDefault="001E1FB8"/>
    <w:sdt>
      <w:sdtPr>
        <w:rPr>
          <w:rFonts w:asciiTheme="minorHAnsi" w:eastAsiaTheme="minorHAnsi" w:hAnsiTheme="minorHAnsi" w:cstheme="minorBidi"/>
          <w:color w:val="auto"/>
          <w:sz w:val="22"/>
          <w:szCs w:val="22"/>
        </w:rPr>
        <w:id w:val="-1060327198"/>
        <w:docPartObj>
          <w:docPartGallery w:val="Bibliographies"/>
          <w:docPartUnique/>
        </w:docPartObj>
      </w:sdtPr>
      <w:sdtEndPr/>
      <w:sdtContent>
        <w:p w:rsidR="005849EA" w:rsidRDefault="005849EA">
          <w:pPr>
            <w:pStyle w:val="Heading1"/>
          </w:pPr>
          <w:r>
            <w:t>Bibliography</w:t>
          </w:r>
        </w:p>
        <w:sdt>
          <w:sdtPr>
            <w:id w:val="111145805"/>
            <w:bibliography/>
          </w:sdtPr>
          <w:sdtEndPr/>
          <w:sdtContent>
            <w:p w:rsidR="005849EA" w:rsidRDefault="005849EA">
              <w:pPr>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13636"/>
              </w:tblGrid>
              <w:tr w:rsidR="005849EA">
                <w:trPr>
                  <w:divId w:val="176311220"/>
                  <w:tblCellSpacing w:w="15" w:type="dxa"/>
                </w:trPr>
                <w:tc>
                  <w:tcPr>
                    <w:tcW w:w="50" w:type="pct"/>
                    <w:hideMark/>
                  </w:tcPr>
                  <w:p w:rsidR="005849EA" w:rsidRDefault="005849EA">
                    <w:pPr>
                      <w:pStyle w:val="Bibliography"/>
                      <w:rPr>
                        <w:noProof/>
                        <w:sz w:val="24"/>
                        <w:szCs w:val="24"/>
                      </w:rPr>
                    </w:pPr>
                    <w:r>
                      <w:rPr>
                        <w:noProof/>
                      </w:rPr>
                      <w:lastRenderedPageBreak/>
                      <w:t xml:space="preserve">[1] </w:t>
                    </w:r>
                  </w:p>
                </w:tc>
                <w:tc>
                  <w:tcPr>
                    <w:tcW w:w="0" w:type="auto"/>
                    <w:hideMark/>
                  </w:tcPr>
                  <w:p w:rsidR="005849EA" w:rsidRDefault="005849EA">
                    <w:pPr>
                      <w:pStyle w:val="Bibliography"/>
                      <w:rPr>
                        <w:noProof/>
                      </w:rPr>
                    </w:pPr>
                    <w:r>
                      <w:rPr>
                        <w:noProof/>
                      </w:rPr>
                      <w:t>M. N. Z. Limited, “Methanex New Zealand Overview,” 6th October 2016. [Online]. Available: https://www.methanex.com/location/new-zealand.</w:t>
                    </w:r>
                  </w:p>
                </w:tc>
              </w:tr>
              <w:tr w:rsidR="005849EA">
                <w:trPr>
                  <w:divId w:val="176311220"/>
                  <w:tblCellSpacing w:w="15" w:type="dxa"/>
                </w:trPr>
                <w:tc>
                  <w:tcPr>
                    <w:tcW w:w="50" w:type="pct"/>
                    <w:hideMark/>
                  </w:tcPr>
                  <w:p w:rsidR="005849EA" w:rsidRDefault="005849EA">
                    <w:pPr>
                      <w:pStyle w:val="Bibliography"/>
                      <w:rPr>
                        <w:noProof/>
                      </w:rPr>
                    </w:pPr>
                    <w:r>
                      <w:rPr>
                        <w:noProof/>
                      </w:rPr>
                      <w:t xml:space="preserve">[2] </w:t>
                    </w:r>
                  </w:p>
                </w:tc>
                <w:tc>
                  <w:tcPr>
                    <w:tcW w:w="0" w:type="auto"/>
                    <w:hideMark/>
                  </w:tcPr>
                  <w:p w:rsidR="005849EA" w:rsidRDefault="005849EA">
                    <w:pPr>
                      <w:pStyle w:val="Bibliography"/>
                      <w:rPr>
                        <w:noProof/>
                      </w:rPr>
                    </w:pPr>
                    <w:r>
                      <w:rPr>
                        <w:noProof/>
                      </w:rPr>
                      <w:t>D. Pons, “Three Pillars Model of Sustainability,” [Online]. Available: https://commons.wikimedia.org/wiki/File:Three_Pillars_model_of_Sustainability.jpg.</w:t>
                    </w:r>
                  </w:p>
                </w:tc>
              </w:tr>
              <w:tr w:rsidR="005849EA">
                <w:trPr>
                  <w:divId w:val="176311220"/>
                  <w:tblCellSpacing w:w="15" w:type="dxa"/>
                </w:trPr>
                <w:tc>
                  <w:tcPr>
                    <w:tcW w:w="50" w:type="pct"/>
                    <w:hideMark/>
                  </w:tcPr>
                  <w:p w:rsidR="005849EA" w:rsidRDefault="005849EA">
                    <w:pPr>
                      <w:pStyle w:val="Bibliography"/>
                      <w:rPr>
                        <w:noProof/>
                      </w:rPr>
                    </w:pPr>
                    <w:r>
                      <w:rPr>
                        <w:noProof/>
                      </w:rPr>
                      <w:t xml:space="preserve">[3] </w:t>
                    </w:r>
                  </w:p>
                </w:tc>
                <w:tc>
                  <w:tcPr>
                    <w:tcW w:w="0" w:type="auto"/>
                    <w:hideMark/>
                  </w:tcPr>
                  <w:p w:rsidR="005849EA" w:rsidRDefault="005849EA">
                    <w:pPr>
                      <w:pStyle w:val="Bibliography"/>
                      <w:rPr>
                        <w:noProof/>
                      </w:rPr>
                    </w:pPr>
                    <w:r>
                      <w:rPr>
                        <w:noProof/>
                      </w:rPr>
                      <w:t>BANZ, “Biogas Strategy,” 6th October 2016. [Online]. Available: http://www.biogas.org.nz/documents/biogas/BANZ-Biogas-Strategy-110224.pdf.</w:t>
                    </w:r>
                  </w:p>
                </w:tc>
              </w:tr>
              <w:tr w:rsidR="005849EA">
                <w:trPr>
                  <w:divId w:val="176311220"/>
                  <w:tblCellSpacing w:w="15" w:type="dxa"/>
                </w:trPr>
                <w:tc>
                  <w:tcPr>
                    <w:tcW w:w="50" w:type="pct"/>
                    <w:hideMark/>
                  </w:tcPr>
                  <w:p w:rsidR="005849EA" w:rsidRDefault="005849EA">
                    <w:pPr>
                      <w:pStyle w:val="Bibliography"/>
                      <w:rPr>
                        <w:noProof/>
                      </w:rPr>
                    </w:pPr>
                    <w:r>
                      <w:rPr>
                        <w:noProof/>
                      </w:rPr>
                      <w:t xml:space="preserve">[4] </w:t>
                    </w:r>
                  </w:p>
                </w:tc>
                <w:tc>
                  <w:tcPr>
                    <w:tcW w:w="0" w:type="auto"/>
                    <w:hideMark/>
                  </w:tcPr>
                  <w:p w:rsidR="005849EA" w:rsidRDefault="005849EA">
                    <w:pPr>
                      <w:pStyle w:val="Bibliography"/>
                      <w:rPr>
                        <w:noProof/>
                      </w:rPr>
                    </w:pPr>
                    <w:r>
                      <w:rPr>
                        <w:noProof/>
                      </w:rPr>
                      <w:t>C. W. N. &amp;. F. You, “Steam Reformation of methane into methanol,” National University of Singapore, Singapore, 2016.</w:t>
                    </w:r>
                  </w:p>
                </w:tc>
              </w:tr>
              <w:tr w:rsidR="005849EA">
                <w:trPr>
                  <w:divId w:val="176311220"/>
                  <w:tblCellSpacing w:w="15" w:type="dxa"/>
                </w:trPr>
                <w:tc>
                  <w:tcPr>
                    <w:tcW w:w="50" w:type="pct"/>
                    <w:hideMark/>
                  </w:tcPr>
                  <w:p w:rsidR="005849EA" w:rsidRDefault="005849EA">
                    <w:pPr>
                      <w:pStyle w:val="Bibliography"/>
                      <w:rPr>
                        <w:noProof/>
                      </w:rPr>
                    </w:pPr>
                    <w:r>
                      <w:rPr>
                        <w:noProof/>
                      </w:rPr>
                      <w:t xml:space="preserve">[5] </w:t>
                    </w:r>
                  </w:p>
                </w:tc>
                <w:tc>
                  <w:tcPr>
                    <w:tcW w:w="0" w:type="auto"/>
                    <w:hideMark/>
                  </w:tcPr>
                  <w:p w:rsidR="005849EA" w:rsidRDefault="005849EA">
                    <w:pPr>
                      <w:pStyle w:val="Bibliography"/>
                      <w:rPr>
                        <w:noProof/>
                      </w:rPr>
                    </w:pPr>
                    <w:r>
                      <w:rPr>
                        <w:noProof/>
                      </w:rPr>
                      <w:t>B. B. Strategy, “Biogas Strategy for BANZ company,” 4th October 2016. [Online]. Available: http://www.biogas.org.nz/documents/biogas/BANZ-Biogas-Strategy-110224.pdf .</w:t>
                    </w:r>
                  </w:p>
                </w:tc>
              </w:tr>
            </w:tbl>
            <w:p w:rsidR="005849EA" w:rsidRDefault="005849EA">
              <w:pPr>
                <w:divId w:val="176311220"/>
                <w:rPr>
                  <w:rFonts w:eastAsia="Times New Roman"/>
                  <w:noProof/>
                </w:rPr>
              </w:pPr>
            </w:p>
            <w:p w:rsidR="005849EA" w:rsidRDefault="005849EA">
              <w:r>
                <w:rPr>
                  <w:b/>
                  <w:bCs/>
                  <w:noProof/>
                </w:rPr>
                <w:fldChar w:fldCharType="end"/>
              </w:r>
            </w:p>
          </w:sdtContent>
        </w:sdt>
      </w:sdtContent>
    </w:sdt>
    <w:p w:rsidR="005849EA" w:rsidRDefault="005849EA"/>
    <w:sectPr w:rsidR="005849EA" w:rsidSect="00015EDA">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66FB" w:rsidRDefault="006566FB">
      <w:pPr>
        <w:spacing w:after="0" w:line="240" w:lineRule="auto"/>
      </w:pPr>
      <w:r>
        <w:separator/>
      </w:r>
    </w:p>
  </w:endnote>
  <w:endnote w:type="continuationSeparator" w:id="0">
    <w:p w:rsidR="006566FB" w:rsidRDefault="00656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Quattrocento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C0" w:rsidRDefault="00722E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096669"/>
      <w:docPartObj>
        <w:docPartGallery w:val="Page Numbers (Bottom of Page)"/>
        <w:docPartUnique/>
      </w:docPartObj>
    </w:sdtPr>
    <w:sdtEndPr>
      <w:rPr>
        <w:noProof/>
      </w:rPr>
    </w:sdtEndPr>
    <w:sdtContent>
      <w:p w:rsidR="00015EDA" w:rsidRDefault="00015EDA">
        <w:pPr>
          <w:pStyle w:val="Footer"/>
          <w:jc w:val="center"/>
        </w:pPr>
        <w:r>
          <w:fldChar w:fldCharType="begin"/>
        </w:r>
        <w:r>
          <w:instrText xml:space="preserve"> PAGE   \* MERGEFORMAT </w:instrText>
        </w:r>
        <w:r>
          <w:fldChar w:fldCharType="separate"/>
        </w:r>
        <w:r w:rsidR="002F1140">
          <w:rPr>
            <w:noProof/>
          </w:rPr>
          <w:t>3</w:t>
        </w:r>
        <w:r>
          <w:rPr>
            <w:noProof/>
          </w:rPr>
          <w:fldChar w:fldCharType="end"/>
        </w:r>
      </w:p>
    </w:sdtContent>
  </w:sdt>
  <w:p w:rsidR="00015EDA" w:rsidRDefault="00015E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C0" w:rsidRDefault="00722E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592578"/>
      <w:docPartObj>
        <w:docPartGallery w:val="Page Numbers (Bottom of Page)"/>
        <w:docPartUnique/>
      </w:docPartObj>
    </w:sdtPr>
    <w:sdtEndPr>
      <w:rPr>
        <w:noProof/>
      </w:rPr>
    </w:sdtEndPr>
    <w:sdtContent>
      <w:p w:rsidR="00015EDA" w:rsidRDefault="00015EDA">
        <w:pPr>
          <w:pStyle w:val="Footer"/>
          <w:jc w:val="center"/>
        </w:pPr>
        <w:r>
          <w:fldChar w:fldCharType="begin"/>
        </w:r>
        <w:r>
          <w:instrText xml:space="preserve"> PAGE   \* MERGEFORMAT </w:instrText>
        </w:r>
        <w:r>
          <w:fldChar w:fldCharType="separate"/>
        </w:r>
        <w:r w:rsidR="00CA7513">
          <w:rPr>
            <w:noProof/>
          </w:rPr>
          <w:t>21</w:t>
        </w:r>
        <w:r>
          <w:rPr>
            <w:noProof/>
          </w:rPr>
          <w:fldChar w:fldCharType="end"/>
        </w:r>
      </w:p>
    </w:sdtContent>
  </w:sdt>
  <w:p w:rsidR="00015EDA" w:rsidRDefault="00015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66FB" w:rsidRDefault="006566FB">
      <w:pPr>
        <w:spacing w:after="0" w:line="240" w:lineRule="auto"/>
      </w:pPr>
      <w:r>
        <w:separator/>
      </w:r>
    </w:p>
  </w:footnote>
  <w:footnote w:type="continuationSeparator" w:id="0">
    <w:p w:rsidR="006566FB" w:rsidRDefault="00656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C0" w:rsidRDefault="00722E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2756436"/>
      <w:docPartObj>
        <w:docPartGallery w:val="Watermarks"/>
        <w:docPartUnique/>
      </w:docPartObj>
    </w:sdtPr>
    <w:sdtContent>
      <w:p w:rsidR="00722EC0" w:rsidRDefault="00722EC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49" type="#_x0000_t136" style="position:absolute;margin-left:0;margin-top:0;width:494.9pt;height:164.95pt;rotation:315;z-index:-251657216;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EC0" w:rsidRDefault="00722E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10AAD"/>
    <w:multiLevelType w:val="hybridMultilevel"/>
    <w:tmpl w:val="684ED3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5C77C3"/>
    <w:multiLevelType w:val="hybridMultilevel"/>
    <w:tmpl w:val="783AB05A"/>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676D24"/>
    <w:multiLevelType w:val="hybridMultilevel"/>
    <w:tmpl w:val="BEFECBD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2106A1"/>
    <w:multiLevelType w:val="multilevel"/>
    <w:tmpl w:val="0144F8D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9A3904"/>
    <w:multiLevelType w:val="multilevel"/>
    <w:tmpl w:val="FFFC2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137BAC"/>
    <w:multiLevelType w:val="multilevel"/>
    <w:tmpl w:val="9642F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315356"/>
    <w:multiLevelType w:val="hybridMultilevel"/>
    <w:tmpl w:val="BFE89F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BD3260D"/>
    <w:multiLevelType w:val="multilevel"/>
    <w:tmpl w:val="FCC6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E05FDE"/>
    <w:multiLevelType w:val="multilevel"/>
    <w:tmpl w:val="333CF2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B31589"/>
    <w:multiLevelType w:val="hybridMultilevel"/>
    <w:tmpl w:val="C0AAED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1BA765B"/>
    <w:multiLevelType w:val="multilevel"/>
    <w:tmpl w:val="B6DE0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18766C"/>
    <w:multiLevelType w:val="hybridMultilevel"/>
    <w:tmpl w:val="A0FA26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2936ECA"/>
    <w:multiLevelType w:val="hybridMultilevel"/>
    <w:tmpl w:val="1EA4F6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4125C9B"/>
    <w:multiLevelType w:val="multilevel"/>
    <w:tmpl w:val="C480F6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E908B3"/>
    <w:multiLevelType w:val="multilevel"/>
    <w:tmpl w:val="B2EA62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71425D"/>
    <w:multiLevelType w:val="hybridMultilevel"/>
    <w:tmpl w:val="35184C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5325B3E"/>
    <w:multiLevelType w:val="multilevel"/>
    <w:tmpl w:val="6AA0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4008D7"/>
    <w:multiLevelType w:val="multilevel"/>
    <w:tmpl w:val="A0EA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6C5B78"/>
    <w:multiLevelType w:val="multilevel"/>
    <w:tmpl w:val="84B6C9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4928CD"/>
    <w:multiLevelType w:val="multilevel"/>
    <w:tmpl w:val="0144F8D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5A453A"/>
    <w:multiLevelType w:val="multilevel"/>
    <w:tmpl w:val="0144F8D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EA0EBD"/>
    <w:multiLevelType w:val="hybridMultilevel"/>
    <w:tmpl w:val="413C1C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D582421"/>
    <w:multiLevelType w:val="multilevel"/>
    <w:tmpl w:val="74E29C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785260"/>
    <w:multiLevelType w:val="multilevel"/>
    <w:tmpl w:val="D71E31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CE29B7"/>
    <w:multiLevelType w:val="hybridMultilevel"/>
    <w:tmpl w:val="FC469F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F601707"/>
    <w:multiLevelType w:val="multilevel"/>
    <w:tmpl w:val="3440D5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6A0BF5"/>
    <w:multiLevelType w:val="multilevel"/>
    <w:tmpl w:val="0144F8D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4052D7C"/>
    <w:multiLevelType w:val="hybridMultilevel"/>
    <w:tmpl w:val="480C47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7D6248C"/>
    <w:multiLevelType w:val="multilevel"/>
    <w:tmpl w:val="A432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154259"/>
    <w:multiLevelType w:val="multilevel"/>
    <w:tmpl w:val="189ED9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536FD1"/>
    <w:multiLevelType w:val="multilevel"/>
    <w:tmpl w:val="FA764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0"/>
  </w:num>
  <w:num w:numId="4">
    <w:abstractNumId w:val="1"/>
  </w:num>
  <w:num w:numId="5">
    <w:abstractNumId w:val="2"/>
  </w:num>
  <w:num w:numId="6">
    <w:abstractNumId w:val="27"/>
  </w:num>
  <w:num w:numId="7">
    <w:abstractNumId w:val="9"/>
  </w:num>
  <w:num w:numId="8">
    <w:abstractNumId w:val="12"/>
  </w:num>
  <w:num w:numId="9">
    <w:abstractNumId w:val="21"/>
  </w:num>
  <w:num w:numId="10">
    <w:abstractNumId w:val="24"/>
  </w:num>
  <w:num w:numId="11">
    <w:abstractNumId w:val="5"/>
  </w:num>
  <w:num w:numId="12">
    <w:abstractNumId w:val="18"/>
    <w:lvlOverride w:ilvl="1">
      <w:lvl w:ilvl="1">
        <w:numFmt w:val="lowerLetter"/>
        <w:lvlText w:val="%2."/>
        <w:lvlJc w:val="left"/>
      </w:lvl>
    </w:lvlOverride>
  </w:num>
  <w:num w:numId="13">
    <w:abstractNumId w:val="18"/>
    <w:lvlOverride w:ilvl="0">
      <w:lvl w:ilvl="0">
        <w:start w:val="1"/>
        <w:numFmt w:val="decimal"/>
        <w:lvlText w:val="%1."/>
        <w:lvlJc w:val="left"/>
        <w:pPr>
          <w:tabs>
            <w:tab w:val="num" w:pos="720"/>
          </w:tabs>
          <w:ind w:left="720" w:hanging="360"/>
        </w:pPr>
      </w:lvl>
    </w:lvlOverride>
    <w:lvlOverride w:ilvl="1">
      <w:lvl w:ilvl="1">
        <w:numFmt w:val="lowerLetter"/>
        <w:lvlText w:val="%2."/>
        <w:lvlJc w:val="left"/>
      </w:lvl>
    </w:lvlOverride>
    <w:lvlOverride w:ilvl="2">
      <w:lvl w:ilvl="2">
        <w:numFmt w:val="lowerRoman"/>
        <w:lvlText w:val="%3."/>
        <w:lvlJc w:val="right"/>
      </w:lvl>
    </w:lvlOverride>
    <w:lvlOverride w:ilvl="3">
      <w:lvl w:ilvl="3">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4">
    <w:abstractNumId w:val="14"/>
    <w:lvlOverride w:ilvl="0">
      <w:lvl w:ilvl="0">
        <w:numFmt w:val="decimal"/>
        <w:lvlText w:val="%1."/>
        <w:lvlJc w:val="left"/>
      </w:lvl>
    </w:lvlOverride>
  </w:num>
  <w:num w:numId="15">
    <w:abstractNumId w:val="29"/>
    <w:lvlOverride w:ilvl="1">
      <w:lvl w:ilvl="1">
        <w:numFmt w:val="lowerLetter"/>
        <w:lvlText w:val="%2."/>
        <w:lvlJc w:val="left"/>
      </w:lvl>
    </w:lvlOverride>
  </w:num>
  <w:num w:numId="16">
    <w:abstractNumId w:val="13"/>
    <w:lvlOverride w:ilvl="0">
      <w:lvl w:ilvl="0">
        <w:numFmt w:val="decimal"/>
        <w:lvlText w:val="%1."/>
        <w:lvlJc w:val="left"/>
      </w:lvl>
    </w:lvlOverride>
  </w:num>
  <w:num w:numId="17">
    <w:abstractNumId w:val="23"/>
    <w:lvlOverride w:ilvl="1">
      <w:lvl w:ilvl="1">
        <w:numFmt w:val="lowerLetter"/>
        <w:lvlText w:val="%2."/>
        <w:lvlJc w:val="left"/>
      </w:lvl>
    </w:lvlOverride>
  </w:num>
  <w:num w:numId="18">
    <w:abstractNumId w:val="7"/>
  </w:num>
  <w:num w:numId="19">
    <w:abstractNumId w:val="10"/>
  </w:num>
  <w:num w:numId="20">
    <w:abstractNumId w:val="28"/>
  </w:num>
  <w:num w:numId="21">
    <w:abstractNumId w:val="25"/>
    <w:lvlOverride w:ilvl="0">
      <w:lvl w:ilvl="0">
        <w:numFmt w:val="decimal"/>
        <w:lvlText w:val="%1."/>
        <w:lvlJc w:val="left"/>
      </w:lvl>
    </w:lvlOverride>
  </w:num>
  <w:num w:numId="22">
    <w:abstractNumId w:val="22"/>
    <w:lvlOverride w:ilvl="0">
      <w:lvl w:ilvl="0">
        <w:numFmt w:val="decimal"/>
        <w:lvlText w:val="%1."/>
        <w:lvlJc w:val="left"/>
      </w:lvl>
    </w:lvlOverride>
  </w:num>
  <w:num w:numId="23">
    <w:abstractNumId w:val="8"/>
    <w:lvlOverride w:ilvl="0">
      <w:lvl w:ilvl="0">
        <w:numFmt w:val="decimal"/>
        <w:lvlText w:val="%1."/>
        <w:lvlJc w:val="left"/>
      </w:lvl>
    </w:lvlOverride>
  </w:num>
  <w:num w:numId="24">
    <w:abstractNumId w:val="16"/>
  </w:num>
  <w:num w:numId="25">
    <w:abstractNumId w:val="4"/>
  </w:num>
  <w:num w:numId="26">
    <w:abstractNumId w:val="4"/>
    <w:lvlOverride w:ilvl="1">
      <w:lvl w:ilvl="1">
        <w:numFmt w:val="bullet"/>
        <w:lvlText w:val=""/>
        <w:lvlJc w:val="left"/>
        <w:pPr>
          <w:tabs>
            <w:tab w:val="num" w:pos="1440"/>
          </w:tabs>
          <w:ind w:left="1440" w:hanging="360"/>
        </w:pPr>
        <w:rPr>
          <w:rFonts w:ascii="Symbol" w:hAnsi="Symbol" w:hint="default"/>
          <w:sz w:val="20"/>
        </w:rPr>
      </w:lvl>
    </w:lvlOverride>
  </w:num>
  <w:num w:numId="27">
    <w:abstractNumId w:val="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8">
    <w:abstractNumId w:val="17"/>
  </w:num>
  <w:num w:numId="29">
    <w:abstractNumId w:val="30"/>
  </w:num>
  <w:num w:numId="30">
    <w:abstractNumId w:val="15"/>
  </w:num>
  <w:num w:numId="31">
    <w:abstractNumId w:val="3"/>
  </w:num>
  <w:num w:numId="32">
    <w:abstractNumId w:val="20"/>
  </w:num>
  <w:num w:numId="33">
    <w:abstractNumId w:val="26"/>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EDA"/>
    <w:rsid w:val="00015EDA"/>
    <w:rsid w:val="001162F5"/>
    <w:rsid w:val="001E1FB8"/>
    <w:rsid w:val="002F1140"/>
    <w:rsid w:val="00334476"/>
    <w:rsid w:val="00442609"/>
    <w:rsid w:val="005849EA"/>
    <w:rsid w:val="006566FB"/>
    <w:rsid w:val="006D26C9"/>
    <w:rsid w:val="00722EC0"/>
    <w:rsid w:val="00CA7513"/>
    <w:rsid w:val="00D010D7"/>
    <w:rsid w:val="00D01B43"/>
    <w:rsid w:val="00E7013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B1877D17-BA75-4C93-BDA3-F0ECDB4CC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EDA"/>
  </w:style>
  <w:style w:type="paragraph" w:styleId="Heading1">
    <w:name w:val="heading 1"/>
    <w:basedOn w:val="Normal"/>
    <w:next w:val="Normal"/>
    <w:link w:val="Heading1Char"/>
    <w:uiPriority w:val="9"/>
    <w:qFormat/>
    <w:rsid w:val="00015E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15E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15E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5ED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15ED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15EDA"/>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015EDA"/>
    <w:rPr>
      <w:color w:val="0000FF"/>
      <w:u w:val="single"/>
    </w:rPr>
  </w:style>
  <w:style w:type="table" w:styleId="TableGrid">
    <w:name w:val="Table Grid"/>
    <w:basedOn w:val="TableNormal"/>
    <w:uiPriority w:val="39"/>
    <w:rsid w:val="00015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5E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EDA"/>
  </w:style>
  <w:style w:type="paragraph" w:styleId="Footer">
    <w:name w:val="footer"/>
    <w:basedOn w:val="Normal"/>
    <w:link w:val="FooterChar"/>
    <w:uiPriority w:val="99"/>
    <w:unhideWhenUsed/>
    <w:rsid w:val="00015E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EDA"/>
  </w:style>
  <w:style w:type="paragraph" w:styleId="NormalWeb">
    <w:name w:val="Normal (Web)"/>
    <w:basedOn w:val="Normal"/>
    <w:uiPriority w:val="99"/>
    <w:unhideWhenUsed/>
    <w:rsid w:val="00015ED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pple-converted-space">
    <w:name w:val="apple-converted-space"/>
    <w:basedOn w:val="DefaultParagraphFont"/>
    <w:rsid w:val="00015EDA"/>
  </w:style>
  <w:style w:type="character" w:customStyle="1" w:styleId="nested-key">
    <w:name w:val="nested-key"/>
    <w:basedOn w:val="DefaultParagraphFont"/>
    <w:rsid w:val="00015EDA"/>
  </w:style>
  <w:style w:type="character" w:customStyle="1" w:styleId="nested-value">
    <w:name w:val="nested-value"/>
    <w:basedOn w:val="DefaultParagraphFont"/>
    <w:rsid w:val="00015EDA"/>
  </w:style>
  <w:style w:type="paragraph" w:styleId="Caption">
    <w:name w:val="caption"/>
    <w:basedOn w:val="Normal"/>
    <w:next w:val="Normal"/>
    <w:uiPriority w:val="35"/>
    <w:unhideWhenUsed/>
    <w:qFormat/>
    <w:rsid w:val="00015EDA"/>
    <w:pPr>
      <w:spacing w:after="200" w:line="240" w:lineRule="auto"/>
    </w:pPr>
    <w:rPr>
      <w:i/>
      <w:iCs/>
      <w:color w:val="44546A" w:themeColor="text2"/>
      <w:sz w:val="18"/>
      <w:szCs w:val="18"/>
    </w:rPr>
  </w:style>
  <w:style w:type="paragraph" w:styleId="ListParagraph">
    <w:name w:val="List Paragraph"/>
    <w:basedOn w:val="Normal"/>
    <w:uiPriority w:val="34"/>
    <w:qFormat/>
    <w:rsid w:val="00015EDA"/>
    <w:pPr>
      <w:ind w:left="720"/>
      <w:contextualSpacing/>
    </w:pPr>
  </w:style>
  <w:style w:type="character" w:customStyle="1" w:styleId="apple-tab-span">
    <w:name w:val="apple-tab-span"/>
    <w:basedOn w:val="DefaultParagraphFont"/>
    <w:rsid w:val="00015EDA"/>
  </w:style>
  <w:style w:type="paragraph" w:styleId="TOCHeading">
    <w:name w:val="TOC Heading"/>
    <w:basedOn w:val="Heading1"/>
    <w:next w:val="Normal"/>
    <w:uiPriority w:val="39"/>
    <w:unhideWhenUsed/>
    <w:qFormat/>
    <w:rsid w:val="00015EDA"/>
    <w:pPr>
      <w:outlineLvl w:val="9"/>
    </w:pPr>
    <w:rPr>
      <w:lang w:val="en-US"/>
    </w:rPr>
  </w:style>
  <w:style w:type="paragraph" w:styleId="TOC1">
    <w:name w:val="toc 1"/>
    <w:basedOn w:val="Normal"/>
    <w:next w:val="Normal"/>
    <w:autoRedefine/>
    <w:uiPriority w:val="39"/>
    <w:unhideWhenUsed/>
    <w:rsid w:val="00015EDA"/>
    <w:pPr>
      <w:spacing w:after="100"/>
    </w:pPr>
  </w:style>
  <w:style w:type="paragraph" w:styleId="TOC2">
    <w:name w:val="toc 2"/>
    <w:basedOn w:val="Normal"/>
    <w:next w:val="Normal"/>
    <w:autoRedefine/>
    <w:uiPriority w:val="39"/>
    <w:unhideWhenUsed/>
    <w:rsid w:val="00015EDA"/>
    <w:pPr>
      <w:spacing w:after="100"/>
      <w:ind w:left="220"/>
    </w:pPr>
  </w:style>
  <w:style w:type="paragraph" w:styleId="TOC3">
    <w:name w:val="toc 3"/>
    <w:basedOn w:val="Normal"/>
    <w:next w:val="Normal"/>
    <w:autoRedefine/>
    <w:uiPriority w:val="39"/>
    <w:unhideWhenUsed/>
    <w:rsid w:val="00015EDA"/>
    <w:pPr>
      <w:spacing w:after="100"/>
      <w:ind w:left="440"/>
    </w:pPr>
  </w:style>
  <w:style w:type="table" w:styleId="GridTable4-Accent1">
    <w:name w:val="Grid Table 4 Accent 1"/>
    <w:basedOn w:val="TableNormal"/>
    <w:uiPriority w:val="49"/>
    <w:rsid w:val="00015ED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ibliography">
    <w:name w:val="Bibliography"/>
    <w:basedOn w:val="Normal"/>
    <w:next w:val="Normal"/>
    <w:uiPriority w:val="37"/>
    <w:unhideWhenUsed/>
    <w:rsid w:val="005849EA"/>
  </w:style>
  <w:style w:type="paragraph" w:styleId="BalloonText">
    <w:name w:val="Balloon Text"/>
    <w:basedOn w:val="Normal"/>
    <w:link w:val="BalloonTextChar"/>
    <w:uiPriority w:val="99"/>
    <w:semiHidden/>
    <w:unhideWhenUsed/>
    <w:rsid w:val="00722E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E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99914">
      <w:bodyDiv w:val="1"/>
      <w:marLeft w:val="0"/>
      <w:marRight w:val="0"/>
      <w:marTop w:val="0"/>
      <w:marBottom w:val="0"/>
      <w:divBdr>
        <w:top w:val="none" w:sz="0" w:space="0" w:color="auto"/>
        <w:left w:val="none" w:sz="0" w:space="0" w:color="auto"/>
        <w:bottom w:val="none" w:sz="0" w:space="0" w:color="auto"/>
        <w:right w:val="none" w:sz="0" w:space="0" w:color="auto"/>
      </w:divBdr>
    </w:div>
    <w:div w:id="176311220">
      <w:bodyDiv w:val="1"/>
      <w:marLeft w:val="0"/>
      <w:marRight w:val="0"/>
      <w:marTop w:val="0"/>
      <w:marBottom w:val="0"/>
      <w:divBdr>
        <w:top w:val="none" w:sz="0" w:space="0" w:color="auto"/>
        <w:left w:val="none" w:sz="0" w:space="0" w:color="auto"/>
        <w:bottom w:val="none" w:sz="0" w:space="0" w:color="auto"/>
        <w:right w:val="none" w:sz="0" w:space="0" w:color="auto"/>
      </w:divBdr>
    </w:div>
    <w:div w:id="176382943">
      <w:bodyDiv w:val="1"/>
      <w:marLeft w:val="0"/>
      <w:marRight w:val="0"/>
      <w:marTop w:val="0"/>
      <w:marBottom w:val="0"/>
      <w:divBdr>
        <w:top w:val="none" w:sz="0" w:space="0" w:color="auto"/>
        <w:left w:val="none" w:sz="0" w:space="0" w:color="auto"/>
        <w:bottom w:val="none" w:sz="0" w:space="0" w:color="auto"/>
        <w:right w:val="none" w:sz="0" w:space="0" w:color="auto"/>
      </w:divBdr>
    </w:div>
    <w:div w:id="195896334">
      <w:bodyDiv w:val="1"/>
      <w:marLeft w:val="0"/>
      <w:marRight w:val="0"/>
      <w:marTop w:val="0"/>
      <w:marBottom w:val="0"/>
      <w:divBdr>
        <w:top w:val="none" w:sz="0" w:space="0" w:color="auto"/>
        <w:left w:val="none" w:sz="0" w:space="0" w:color="auto"/>
        <w:bottom w:val="none" w:sz="0" w:space="0" w:color="auto"/>
        <w:right w:val="none" w:sz="0" w:space="0" w:color="auto"/>
      </w:divBdr>
    </w:div>
    <w:div w:id="206070725">
      <w:bodyDiv w:val="1"/>
      <w:marLeft w:val="0"/>
      <w:marRight w:val="0"/>
      <w:marTop w:val="0"/>
      <w:marBottom w:val="0"/>
      <w:divBdr>
        <w:top w:val="none" w:sz="0" w:space="0" w:color="auto"/>
        <w:left w:val="none" w:sz="0" w:space="0" w:color="auto"/>
        <w:bottom w:val="none" w:sz="0" w:space="0" w:color="auto"/>
        <w:right w:val="none" w:sz="0" w:space="0" w:color="auto"/>
      </w:divBdr>
    </w:div>
    <w:div w:id="331836442">
      <w:bodyDiv w:val="1"/>
      <w:marLeft w:val="0"/>
      <w:marRight w:val="0"/>
      <w:marTop w:val="0"/>
      <w:marBottom w:val="0"/>
      <w:divBdr>
        <w:top w:val="none" w:sz="0" w:space="0" w:color="auto"/>
        <w:left w:val="none" w:sz="0" w:space="0" w:color="auto"/>
        <w:bottom w:val="none" w:sz="0" w:space="0" w:color="auto"/>
        <w:right w:val="none" w:sz="0" w:space="0" w:color="auto"/>
      </w:divBdr>
    </w:div>
    <w:div w:id="495727003">
      <w:bodyDiv w:val="1"/>
      <w:marLeft w:val="0"/>
      <w:marRight w:val="0"/>
      <w:marTop w:val="0"/>
      <w:marBottom w:val="0"/>
      <w:divBdr>
        <w:top w:val="none" w:sz="0" w:space="0" w:color="auto"/>
        <w:left w:val="none" w:sz="0" w:space="0" w:color="auto"/>
        <w:bottom w:val="none" w:sz="0" w:space="0" w:color="auto"/>
        <w:right w:val="none" w:sz="0" w:space="0" w:color="auto"/>
      </w:divBdr>
    </w:div>
    <w:div w:id="777257934">
      <w:bodyDiv w:val="1"/>
      <w:marLeft w:val="0"/>
      <w:marRight w:val="0"/>
      <w:marTop w:val="0"/>
      <w:marBottom w:val="0"/>
      <w:divBdr>
        <w:top w:val="none" w:sz="0" w:space="0" w:color="auto"/>
        <w:left w:val="none" w:sz="0" w:space="0" w:color="auto"/>
        <w:bottom w:val="none" w:sz="0" w:space="0" w:color="auto"/>
        <w:right w:val="none" w:sz="0" w:space="0" w:color="auto"/>
      </w:divBdr>
    </w:div>
    <w:div w:id="848984599">
      <w:bodyDiv w:val="1"/>
      <w:marLeft w:val="0"/>
      <w:marRight w:val="0"/>
      <w:marTop w:val="0"/>
      <w:marBottom w:val="0"/>
      <w:divBdr>
        <w:top w:val="none" w:sz="0" w:space="0" w:color="auto"/>
        <w:left w:val="none" w:sz="0" w:space="0" w:color="auto"/>
        <w:bottom w:val="none" w:sz="0" w:space="0" w:color="auto"/>
        <w:right w:val="none" w:sz="0" w:space="0" w:color="auto"/>
      </w:divBdr>
    </w:div>
    <w:div w:id="895121876">
      <w:bodyDiv w:val="1"/>
      <w:marLeft w:val="0"/>
      <w:marRight w:val="0"/>
      <w:marTop w:val="0"/>
      <w:marBottom w:val="0"/>
      <w:divBdr>
        <w:top w:val="none" w:sz="0" w:space="0" w:color="auto"/>
        <w:left w:val="none" w:sz="0" w:space="0" w:color="auto"/>
        <w:bottom w:val="none" w:sz="0" w:space="0" w:color="auto"/>
        <w:right w:val="none" w:sz="0" w:space="0" w:color="auto"/>
      </w:divBdr>
    </w:div>
    <w:div w:id="929191565">
      <w:bodyDiv w:val="1"/>
      <w:marLeft w:val="0"/>
      <w:marRight w:val="0"/>
      <w:marTop w:val="0"/>
      <w:marBottom w:val="0"/>
      <w:divBdr>
        <w:top w:val="none" w:sz="0" w:space="0" w:color="auto"/>
        <w:left w:val="none" w:sz="0" w:space="0" w:color="auto"/>
        <w:bottom w:val="none" w:sz="0" w:space="0" w:color="auto"/>
        <w:right w:val="none" w:sz="0" w:space="0" w:color="auto"/>
      </w:divBdr>
    </w:div>
    <w:div w:id="991494227">
      <w:bodyDiv w:val="1"/>
      <w:marLeft w:val="0"/>
      <w:marRight w:val="0"/>
      <w:marTop w:val="0"/>
      <w:marBottom w:val="0"/>
      <w:divBdr>
        <w:top w:val="none" w:sz="0" w:space="0" w:color="auto"/>
        <w:left w:val="none" w:sz="0" w:space="0" w:color="auto"/>
        <w:bottom w:val="none" w:sz="0" w:space="0" w:color="auto"/>
        <w:right w:val="none" w:sz="0" w:space="0" w:color="auto"/>
      </w:divBdr>
    </w:div>
    <w:div w:id="1013385723">
      <w:bodyDiv w:val="1"/>
      <w:marLeft w:val="0"/>
      <w:marRight w:val="0"/>
      <w:marTop w:val="0"/>
      <w:marBottom w:val="0"/>
      <w:divBdr>
        <w:top w:val="none" w:sz="0" w:space="0" w:color="auto"/>
        <w:left w:val="none" w:sz="0" w:space="0" w:color="auto"/>
        <w:bottom w:val="none" w:sz="0" w:space="0" w:color="auto"/>
        <w:right w:val="none" w:sz="0" w:space="0" w:color="auto"/>
      </w:divBdr>
      <w:divsChild>
        <w:div w:id="805780416">
          <w:marLeft w:val="-115"/>
          <w:marRight w:val="0"/>
          <w:marTop w:val="0"/>
          <w:marBottom w:val="0"/>
          <w:divBdr>
            <w:top w:val="none" w:sz="0" w:space="0" w:color="auto"/>
            <w:left w:val="none" w:sz="0" w:space="0" w:color="auto"/>
            <w:bottom w:val="none" w:sz="0" w:space="0" w:color="auto"/>
            <w:right w:val="none" w:sz="0" w:space="0" w:color="auto"/>
          </w:divBdr>
        </w:div>
      </w:divsChild>
    </w:div>
    <w:div w:id="1036926777">
      <w:bodyDiv w:val="1"/>
      <w:marLeft w:val="0"/>
      <w:marRight w:val="0"/>
      <w:marTop w:val="0"/>
      <w:marBottom w:val="0"/>
      <w:divBdr>
        <w:top w:val="none" w:sz="0" w:space="0" w:color="auto"/>
        <w:left w:val="none" w:sz="0" w:space="0" w:color="auto"/>
        <w:bottom w:val="none" w:sz="0" w:space="0" w:color="auto"/>
        <w:right w:val="none" w:sz="0" w:space="0" w:color="auto"/>
      </w:divBdr>
    </w:div>
    <w:div w:id="1194617180">
      <w:bodyDiv w:val="1"/>
      <w:marLeft w:val="0"/>
      <w:marRight w:val="0"/>
      <w:marTop w:val="0"/>
      <w:marBottom w:val="0"/>
      <w:divBdr>
        <w:top w:val="none" w:sz="0" w:space="0" w:color="auto"/>
        <w:left w:val="none" w:sz="0" w:space="0" w:color="auto"/>
        <w:bottom w:val="none" w:sz="0" w:space="0" w:color="auto"/>
        <w:right w:val="none" w:sz="0" w:space="0" w:color="auto"/>
      </w:divBdr>
    </w:div>
    <w:div w:id="1232810826">
      <w:bodyDiv w:val="1"/>
      <w:marLeft w:val="0"/>
      <w:marRight w:val="0"/>
      <w:marTop w:val="0"/>
      <w:marBottom w:val="0"/>
      <w:divBdr>
        <w:top w:val="none" w:sz="0" w:space="0" w:color="auto"/>
        <w:left w:val="none" w:sz="0" w:space="0" w:color="auto"/>
        <w:bottom w:val="none" w:sz="0" w:space="0" w:color="auto"/>
        <w:right w:val="none" w:sz="0" w:space="0" w:color="auto"/>
      </w:divBdr>
    </w:div>
    <w:div w:id="1234700541">
      <w:bodyDiv w:val="1"/>
      <w:marLeft w:val="0"/>
      <w:marRight w:val="0"/>
      <w:marTop w:val="0"/>
      <w:marBottom w:val="0"/>
      <w:divBdr>
        <w:top w:val="none" w:sz="0" w:space="0" w:color="auto"/>
        <w:left w:val="none" w:sz="0" w:space="0" w:color="auto"/>
        <w:bottom w:val="none" w:sz="0" w:space="0" w:color="auto"/>
        <w:right w:val="none" w:sz="0" w:space="0" w:color="auto"/>
      </w:divBdr>
    </w:div>
    <w:div w:id="1345669722">
      <w:bodyDiv w:val="1"/>
      <w:marLeft w:val="0"/>
      <w:marRight w:val="0"/>
      <w:marTop w:val="0"/>
      <w:marBottom w:val="0"/>
      <w:divBdr>
        <w:top w:val="none" w:sz="0" w:space="0" w:color="auto"/>
        <w:left w:val="none" w:sz="0" w:space="0" w:color="auto"/>
        <w:bottom w:val="none" w:sz="0" w:space="0" w:color="auto"/>
        <w:right w:val="none" w:sz="0" w:space="0" w:color="auto"/>
      </w:divBdr>
    </w:div>
    <w:div w:id="1394083127">
      <w:bodyDiv w:val="1"/>
      <w:marLeft w:val="0"/>
      <w:marRight w:val="0"/>
      <w:marTop w:val="0"/>
      <w:marBottom w:val="0"/>
      <w:divBdr>
        <w:top w:val="none" w:sz="0" w:space="0" w:color="auto"/>
        <w:left w:val="none" w:sz="0" w:space="0" w:color="auto"/>
        <w:bottom w:val="none" w:sz="0" w:space="0" w:color="auto"/>
        <w:right w:val="none" w:sz="0" w:space="0" w:color="auto"/>
      </w:divBdr>
    </w:div>
    <w:div w:id="1408455461">
      <w:bodyDiv w:val="1"/>
      <w:marLeft w:val="0"/>
      <w:marRight w:val="0"/>
      <w:marTop w:val="0"/>
      <w:marBottom w:val="0"/>
      <w:divBdr>
        <w:top w:val="none" w:sz="0" w:space="0" w:color="auto"/>
        <w:left w:val="none" w:sz="0" w:space="0" w:color="auto"/>
        <w:bottom w:val="none" w:sz="0" w:space="0" w:color="auto"/>
        <w:right w:val="none" w:sz="0" w:space="0" w:color="auto"/>
      </w:divBdr>
    </w:div>
    <w:div w:id="1615820210">
      <w:bodyDiv w:val="1"/>
      <w:marLeft w:val="0"/>
      <w:marRight w:val="0"/>
      <w:marTop w:val="0"/>
      <w:marBottom w:val="0"/>
      <w:divBdr>
        <w:top w:val="none" w:sz="0" w:space="0" w:color="auto"/>
        <w:left w:val="none" w:sz="0" w:space="0" w:color="auto"/>
        <w:bottom w:val="none" w:sz="0" w:space="0" w:color="auto"/>
        <w:right w:val="none" w:sz="0" w:space="0" w:color="auto"/>
      </w:divBdr>
    </w:div>
    <w:div w:id="1700004654">
      <w:bodyDiv w:val="1"/>
      <w:marLeft w:val="0"/>
      <w:marRight w:val="0"/>
      <w:marTop w:val="0"/>
      <w:marBottom w:val="0"/>
      <w:divBdr>
        <w:top w:val="none" w:sz="0" w:space="0" w:color="auto"/>
        <w:left w:val="none" w:sz="0" w:space="0" w:color="auto"/>
        <w:bottom w:val="none" w:sz="0" w:space="0" w:color="auto"/>
        <w:right w:val="none" w:sz="0" w:space="0" w:color="auto"/>
      </w:divBdr>
    </w:div>
    <w:div w:id="1744596801">
      <w:bodyDiv w:val="1"/>
      <w:marLeft w:val="0"/>
      <w:marRight w:val="0"/>
      <w:marTop w:val="0"/>
      <w:marBottom w:val="0"/>
      <w:divBdr>
        <w:top w:val="none" w:sz="0" w:space="0" w:color="auto"/>
        <w:left w:val="none" w:sz="0" w:space="0" w:color="auto"/>
        <w:bottom w:val="none" w:sz="0" w:space="0" w:color="auto"/>
        <w:right w:val="none" w:sz="0" w:space="0" w:color="auto"/>
      </w:divBdr>
    </w:div>
    <w:div w:id="1813793711">
      <w:bodyDiv w:val="1"/>
      <w:marLeft w:val="0"/>
      <w:marRight w:val="0"/>
      <w:marTop w:val="0"/>
      <w:marBottom w:val="0"/>
      <w:divBdr>
        <w:top w:val="none" w:sz="0" w:space="0" w:color="auto"/>
        <w:left w:val="none" w:sz="0" w:space="0" w:color="auto"/>
        <w:bottom w:val="none" w:sz="0" w:space="0" w:color="auto"/>
        <w:right w:val="none" w:sz="0" w:space="0" w:color="auto"/>
      </w:divBdr>
    </w:div>
    <w:div w:id="1974827322">
      <w:bodyDiv w:val="1"/>
      <w:marLeft w:val="0"/>
      <w:marRight w:val="0"/>
      <w:marTop w:val="0"/>
      <w:marBottom w:val="0"/>
      <w:divBdr>
        <w:top w:val="none" w:sz="0" w:space="0" w:color="auto"/>
        <w:left w:val="none" w:sz="0" w:space="0" w:color="auto"/>
        <w:bottom w:val="none" w:sz="0" w:space="0" w:color="auto"/>
        <w:right w:val="none" w:sz="0" w:space="0" w:color="auto"/>
      </w:divBdr>
    </w:div>
    <w:div w:id="204593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image" Target="media/image5.png"/><Relationship Id="rId39" Type="http://schemas.openxmlformats.org/officeDocument/2006/relationships/hyperlink" Target="https://www.google.com/search?tbo=p&amp;tbm=pts&amp;hl=en&amp;q=inassignee:%22Gas+Technologies+Llc%22" TargetMode="Externa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chart" Target="charts/chart6.xml"/><Relationship Id="rId42" Type="http://schemas.openxmlformats.org/officeDocument/2006/relationships/hyperlink" Target="https://www.google.com/search?tbo=p&amp;tbm=pts&amp;hl=en&amp;q=ininventor:%22Alan+K.+Richards%22"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4.png"/><Relationship Id="rId33" Type="http://schemas.openxmlformats.org/officeDocument/2006/relationships/chart" Target="charts/chart5.xml"/><Relationship Id="rId38" Type="http://schemas.openxmlformats.org/officeDocument/2006/relationships/hyperlink" Target="https://www.google.com/search?tbo=p&amp;tbm=pts&amp;hl=en&amp;q=inassignee:%22Gas+Technologies+Llc%22" TargetMode="External"/><Relationship Id="rId46"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diagramLayout" Target="diagrams/layout1.xml"/><Relationship Id="rId29" Type="http://schemas.openxmlformats.org/officeDocument/2006/relationships/image" Target="media/image7.png"/><Relationship Id="rId41" Type="http://schemas.openxmlformats.org/officeDocument/2006/relationships/hyperlink" Target="https://www.google.com/search?tbo=p&amp;tbm=pts&amp;hl=en&amp;q=inassignee:%22Harris+Aubrey+L%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chart" Target="charts/chart4.xml"/><Relationship Id="rId37" Type="http://schemas.openxmlformats.org/officeDocument/2006/relationships/hyperlink" Target="https://www.google.com/search?tbo=p&amp;tbm=pts&amp;hl=en&amp;q=inassignee:%22Lawrence+Morton%22" TargetMode="External"/><Relationship Id="rId40" Type="http://schemas.openxmlformats.org/officeDocument/2006/relationships/hyperlink" Target="https://www.google.com/search?tbo=p&amp;tbm=pts&amp;hl=en&amp;q=inassignee:%22Holley+James+L%22" TargetMode="Externa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3.xml"/><Relationship Id="rId23" Type="http://schemas.microsoft.com/office/2007/relationships/diagramDrawing" Target="diagrams/drawing1.xml"/><Relationship Id="rId28" Type="http://schemas.openxmlformats.org/officeDocument/2006/relationships/image" Target="media/image6.png"/><Relationship Id="rId36" Type="http://schemas.openxmlformats.org/officeDocument/2006/relationships/hyperlink" Target="https://www.google.com/search?tbo=p&amp;tbm=pts&amp;hl=en&amp;q=inassignee:%22Hunter+Norman+R%22" TargetMode="External"/><Relationship Id="rId10" Type="http://schemas.openxmlformats.org/officeDocument/2006/relationships/header" Target="header1.xml"/><Relationship Id="rId19" Type="http://schemas.openxmlformats.org/officeDocument/2006/relationships/diagramData" Target="diagrams/data1.xml"/><Relationship Id="rId31" Type="http://schemas.openxmlformats.org/officeDocument/2006/relationships/image" Target="media/image9.png"/><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diagramColors" Target="diagrams/colors1.xml"/><Relationship Id="rId27" Type="http://schemas.openxmlformats.org/officeDocument/2006/relationships/footer" Target="footer4.xml"/><Relationship Id="rId30" Type="http://schemas.openxmlformats.org/officeDocument/2006/relationships/image" Target="media/image8.png"/><Relationship Id="rId35" Type="http://schemas.openxmlformats.org/officeDocument/2006/relationships/hyperlink" Target="https://www.google.com/search?tbo=p&amp;tbm=pts&amp;hl=en&amp;q=inassignee:%22Gesser+Hyman+D%22" TargetMode="External"/><Relationship Id="rId43" Type="http://schemas.openxmlformats.org/officeDocument/2006/relationships/hyperlink" Target="https://www.google.com/search?tbo=p&amp;tbm=pts&amp;hl=en&amp;q=inassignee:%22Peter+Campbell+Tait%22"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file\UsersG$\ghl22\Home\My%20Documents\3rd%20Pro\S2%202016\ENME418%20Management\Feasability%20Study\Financial%20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ile\UsersG$\ghl22\Home\My%20Documents\3rd%20Pro\S2%202016\ENME418%20Management\Feasability%20Study\Financial%20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ile\UsersG$\ghl22\Home\My%20Documents\3rd%20Pro\S2%202016\ENME418%20Management\Feasability%20Study\Financial%20summa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ile\UsersG$\ghl22\Home\My%20Documents\3rd%20Pro\S2%202016\ENME418%20Management\Feasability%20Study\Financial%20summar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ile\UsersG$\ghl22\Home\My%20Documents\3rd%20Pro\S2%202016\ENME418%20Management\Feasability%20Study\Financial%20summar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ile\UsersG$\ghl22\Home\My%20Documents\3rd%20Pro\S2%202016\ENME418%20Management\Feasability%20Study\Financial%20summary.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0"/>
          <c:tx>
            <c:v>Optimistic profit</c:v>
          </c:tx>
          <c:spPr>
            <a:solidFill>
              <a:schemeClr val="accent4"/>
            </a:solidFill>
            <a:ln>
              <a:noFill/>
            </a:ln>
            <a:effectLst/>
          </c:spPr>
          <c:invertIfNegative val="0"/>
          <c:val>
            <c:numRef>
              <c:f>Sheet1!$I$16:$I$37</c:f>
              <c:numCache>
                <c:formatCode>"$"#,##0.00</c:formatCode>
                <c:ptCount val="22"/>
                <c:pt idx="0">
                  <c:v>-383899.2</c:v>
                </c:pt>
                <c:pt idx="1">
                  <c:v>-991302.36</c:v>
                </c:pt>
                <c:pt idx="2">
                  <c:v>-4192546.7606866662</c:v>
                </c:pt>
                <c:pt idx="3">
                  <c:v>-23749998.432659999</c:v>
                </c:pt>
                <c:pt idx="4">
                  <c:v>-18261577.4967274</c:v>
                </c:pt>
                <c:pt idx="5">
                  <c:v>-12250411.226360183</c:v>
                </c:pt>
                <c:pt idx="6">
                  <c:v>-5054847.0047406405</c:v>
                </c:pt>
                <c:pt idx="7">
                  <c:v>1228405.6724791452</c:v>
                </c:pt>
                <c:pt idx="8">
                  <c:v>6883011.5237650126</c:v>
                </c:pt>
                <c:pt idx="9">
                  <c:v>12385449.804367915</c:v>
                </c:pt>
                <c:pt idx="10">
                  <c:v>17765654.625116386</c:v>
                </c:pt>
                <c:pt idx="11">
                  <c:v>23027015.26737944</c:v>
                </c:pt>
                <c:pt idx="12">
                  <c:v>36965326.855705649</c:v>
                </c:pt>
                <c:pt idx="13">
                  <c:v>50909190.882648587</c:v>
                </c:pt>
                <c:pt idx="14">
                  <c:v>50364996.3738221</c:v>
                </c:pt>
                <c:pt idx="15">
                  <c:v>49826243.810083881</c:v>
                </c:pt>
                <c:pt idx="16">
                  <c:v>49292878.771983042</c:v>
                </c:pt>
                <c:pt idx="17">
                  <c:v>48764847.38426321</c:v>
                </c:pt>
                <c:pt idx="18">
                  <c:v>48242096.31042058</c:v>
                </c:pt>
                <c:pt idx="19">
                  <c:v>47724572.747316375</c:v>
                </c:pt>
                <c:pt idx="20">
                  <c:v>47212224.419843212</c:v>
                </c:pt>
                <c:pt idx="21">
                  <c:v>46832919.575644776</c:v>
                </c:pt>
              </c:numCache>
            </c:numRef>
          </c:val>
          <c:extLst>
            <c:ext xmlns:c16="http://schemas.microsoft.com/office/drawing/2014/chart" uri="{C3380CC4-5D6E-409C-BE32-E72D297353CC}">
              <c16:uniqueId val="{00000000-C666-4B2D-A9DF-F0816365140E}"/>
            </c:ext>
          </c:extLst>
        </c:ser>
        <c:ser>
          <c:idx val="4"/>
          <c:order val="1"/>
          <c:tx>
            <c:v>Expected profit</c:v>
          </c:tx>
          <c:spPr>
            <a:solidFill>
              <a:schemeClr val="accent5"/>
            </a:solidFill>
            <a:ln>
              <a:noFill/>
            </a:ln>
            <a:effectLst/>
          </c:spPr>
          <c:invertIfNegative val="0"/>
          <c:val>
            <c:numRef>
              <c:f>Sheet1!$I$41:$I$62</c:f>
              <c:numCache>
                <c:formatCode>"$"#,##0.00</c:formatCode>
                <c:ptCount val="22"/>
                <c:pt idx="0">
                  <c:v>-383899.2</c:v>
                </c:pt>
                <c:pt idx="1">
                  <c:v>-991302.36</c:v>
                </c:pt>
                <c:pt idx="2">
                  <c:v>-4268986.7007759335</c:v>
                </c:pt>
                <c:pt idx="3">
                  <c:v>-16268963.166294621</c:v>
                </c:pt>
                <c:pt idx="4">
                  <c:v>-14694620.439653596</c:v>
                </c:pt>
                <c:pt idx="5">
                  <c:v>-12615440.030047368</c:v>
                </c:pt>
                <c:pt idx="6">
                  <c:v>-9365020.3365078252</c:v>
                </c:pt>
                <c:pt idx="7">
                  <c:v>-7035564.7984396126</c:v>
                </c:pt>
                <c:pt idx="8">
                  <c:v>-5339135.7882386371</c:v>
                </c:pt>
                <c:pt idx="9">
                  <c:v>-3795204.8682171237</c:v>
                </c:pt>
                <c:pt idx="10">
                  <c:v>-2370003.399073489</c:v>
                </c:pt>
                <c:pt idx="11">
                  <c:v>-1056513.4875830747</c:v>
                </c:pt>
                <c:pt idx="12">
                  <c:v>7081067.3908444196</c:v>
                </c:pt>
                <c:pt idx="13">
                  <c:v>15235404.841019087</c:v>
                </c:pt>
                <c:pt idx="14">
                  <c:v>14709862.895788513</c:v>
                </c:pt>
                <c:pt idx="15">
                  <c:v>14200087.208914857</c:v>
                </c:pt>
                <c:pt idx="16">
                  <c:v>13705604.79264741</c:v>
                </c:pt>
                <c:pt idx="17">
                  <c:v>13225956.848867986</c:v>
                </c:pt>
                <c:pt idx="18">
                  <c:v>12760698.343401946</c:v>
                </c:pt>
                <c:pt idx="19">
                  <c:v>12309397.593099887</c:v>
                </c:pt>
                <c:pt idx="20">
                  <c:v>11871635.86530689</c:v>
                </c:pt>
                <c:pt idx="21">
                  <c:v>11574926.989347683</c:v>
                </c:pt>
              </c:numCache>
            </c:numRef>
          </c:val>
          <c:extLst>
            <c:ext xmlns:c16="http://schemas.microsoft.com/office/drawing/2014/chart" uri="{C3380CC4-5D6E-409C-BE32-E72D297353CC}">
              <c16:uniqueId val="{00000001-C666-4B2D-A9DF-F0816365140E}"/>
            </c:ext>
          </c:extLst>
        </c:ser>
        <c:ser>
          <c:idx val="5"/>
          <c:order val="2"/>
          <c:tx>
            <c:v>Pessimistic profit</c:v>
          </c:tx>
          <c:spPr>
            <a:solidFill>
              <a:schemeClr val="accent6"/>
            </a:solidFill>
            <a:ln>
              <a:noFill/>
            </a:ln>
            <a:effectLst/>
          </c:spPr>
          <c:invertIfNegative val="0"/>
          <c:val>
            <c:numRef>
              <c:f>Sheet1!$I$67:$I$88</c:f>
              <c:numCache>
                <c:formatCode>"$"#,##0.00</c:formatCode>
                <c:ptCount val="22"/>
                <c:pt idx="0">
                  <c:v>-383899.2</c:v>
                </c:pt>
                <c:pt idx="1">
                  <c:v>-991302.36</c:v>
                </c:pt>
                <c:pt idx="2">
                  <c:v>-4307206.6707675457</c:v>
                </c:pt>
                <c:pt idx="3">
                  <c:v>-11840486.071513196</c:v>
                </c:pt>
                <c:pt idx="4">
                  <c:v>-11494746.926687567</c:v>
                </c:pt>
                <c:pt idx="5">
                  <c:v>-10612657.882065717</c:v>
                </c:pt>
                <c:pt idx="6">
                  <c:v>-8525679.2354893312</c:v>
                </c:pt>
                <c:pt idx="7">
                  <c:v>-7324200.1697654231</c:v>
                </c:pt>
                <c:pt idx="8">
                  <c:v>-6718765.5734251803</c:v>
                </c:pt>
                <c:pt idx="9">
                  <c:v>-6227601.0971945496</c:v>
                </c:pt>
                <c:pt idx="10">
                  <c:v>-5815940.3155534184</c:v>
                </c:pt>
                <c:pt idx="11">
                  <c:v>-5475993.8702334138</c:v>
                </c:pt>
                <c:pt idx="12">
                  <c:v>-67957.214721743017</c:v>
                </c:pt>
                <c:pt idx="13">
                  <c:v>5359548.7170143425</c:v>
                </c:pt>
                <c:pt idx="14">
                  <c:v>5008128.2811636254</c:v>
                </c:pt>
                <c:pt idx="15">
                  <c:v>4674278.867105443</c:v>
                </c:pt>
                <c:pt idx="16">
                  <c:v>4357121.9237501714</c:v>
                </c:pt>
                <c:pt idx="17">
                  <c:v>4055822.8275626628</c:v>
                </c:pt>
                <c:pt idx="18">
                  <c:v>3769588.6861845292</c:v>
                </c:pt>
                <c:pt idx="19">
                  <c:v>3497666.2518753028</c:v>
                </c:pt>
                <c:pt idx="20">
                  <c:v>3239339.9392815372</c:v>
                </c:pt>
                <c:pt idx="21">
                  <c:v>3121849.9423174607</c:v>
                </c:pt>
              </c:numCache>
            </c:numRef>
          </c:val>
          <c:extLst>
            <c:ext xmlns:c16="http://schemas.microsoft.com/office/drawing/2014/chart" uri="{C3380CC4-5D6E-409C-BE32-E72D297353CC}">
              <c16:uniqueId val="{00000002-C666-4B2D-A9DF-F0816365140E}"/>
            </c:ext>
          </c:extLst>
        </c:ser>
        <c:dLbls>
          <c:showLegendKey val="0"/>
          <c:showVal val="0"/>
          <c:showCatName val="0"/>
          <c:showSerName val="0"/>
          <c:showPercent val="0"/>
          <c:showBubbleSize val="0"/>
        </c:dLbls>
        <c:gapWidth val="150"/>
        <c:axId val="82046336"/>
        <c:axId val="498561696"/>
      </c:barChart>
      <c:dateAx>
        <c:axId val="8204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561696"/>
        <c:crosses val="autoZero"/>
        <c:auto val="0"/>
        <c:lblOffset val="100"/>
        <c:baseTimeUnit val="days"/>
      </c:dateAx>
      <c:valAx>
        <c:axId val="4985616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46336"/>
        <c:crosses val="autoZero"/>
        <c:crossBetween val="between"/>
        <c:dispUnits>
          <c:builtInUnit val="millions"/>
          <c:dispUnitsLbl>
            <c:layout>
              <c:manualLayout>
                <c:xMode val="edge"/>
                <c:yMode val="edge"/>
                <c:x val="1.963409192324855E-2"/>
                <c:y val="0.43869803797800183"/>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Optimistic cumulative</c:v>
          </c:tx>
          <c:spPr>
            <a:ln w="28575" cap="rnd">
              <a:solidFill>
                <a:schemeClr val="accent1"/>
              </a:solidFill>
              <a:round/>
            </a:ln>
            <a:effectLst/>
          </c:spPr>
          <c:marker>
            <c:symbol val="none"/>
          </c:marker>
          <c:cat>
            <c:numRef>
              <c:f>Sheet1!$A$16:$A$37</c:f>
              <c:numCache>
                <c:formatCode>General</c:formatCode>
                <c:ptCount val="22"/>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numCache>
            </c:numRef>
          </c:cat>
          <c:val>
            <c:numRef>
              <c:f>Sheet1!$K$16:$K$37</c:f>
              <c:numCache>
                <c:formatCode>"$"#,##0.00_);\("$"#,##0.00\)</c:formatCode>
                <c:ptCount val="22"/>
                <c:pt idx="0">
                  <c:v>-383899.2</c:v>
                </c:pt>
                <c:pt idx="1">
                  <c:v>-1375201.56</c:v>
                </c:pt>
                <c:pt idx="2">
                  <c:v>-5567748.3206866663</c:v>
                </c:pt>
                <c:pt idx="3">
                  <c:v>-29317746.753346667</c:v>
                </c:pt>
                <c:pt idx="4">
                  <c:v>-47579324.250074066</c:v>
                </c:pt>
                <c:pt idx="5">
                  <c:v>-59829735.476434246</c:v>
                </c:pt>
                <c:pt idx="6">
                  <c:v>-64884582.481174886</c:v>
                </c:pt>
                <c:pt idx="7">
                  <c:v>-63656176.808695741</c:v>
                </c:pt>
                <c:pt idx="8">
                  <c:v>-56773165.284930728</c:v>
                </c:pt>
                <c:pt idx="9">
                  <c:v>-44387715.480562814</c:v>
                </c:pt>
                <c:pt idx="10">
                  <c:v>-26622060.855446428</c:v>
                </c:pt>
                <c:pt idx="11">
                  <c:v>-3595045.5880669877</c:v>
                </c:pt>
                <c:pt idx="12">
                  <c:v>33370281.267638661</c:v>
                </c:pt>
                <c:pt idx="13">
                  <c:v>84279472.150287241</c:v>
                </c:pt>
                <c:pt idx="14">
                  <c:v>134644468.52410933</c:v>
                </c:pt>
                <c:pt idx="15">
                  <c:v>184470712.33419323</c:v>
                </c:pt>
                <c:pt idx="16">
                  <c:v>233763591.10617626</c:v>
                </c:pt>
                <c:pt idx="17">
                  <c:v>282528438.49043947</c:v>
                </c:pt>
                <c:pt idx="18">
                  <c:v>330770534.80086005</c:v>
                </c:pt>
                <c:pt idx="19">
                  <c:v>378495107.54817641</c:v>
                </c:pt>
                <c:pt idx="20">
                  <c:v>425707331.9680196</c:v>
                </c:pt>
                <c:pt idx="21">
                  <c:v>472540251.5436644</c:v>
                </c:pt>
              </c:numCache>
            </c:numRef>
          </c:val>
          <c:smooth val="0"/>
          <c:extLst>
            <c:ext xmlns:c16="http://schemas.microsoft.com/office/drawing/2014/chart" uri="{C3380CC4-5D6E-409C-BE32-E72D297353CC}">
              <c16:uniqueId val="{00000000-8AE6-4F3F-824F-3D27C7AC8DA6}"/>
            </c:ext>
          </c:extLst>
        </c:ser>
        <c:ser>
          <c:idx val="1"/>
          <c:order val="1"/>
          <c:tx>
            <c:v>Expected cumulative</c:v>
          </c:tx>
          <c:spPr>
            <a:ln w="28575" cap="rnd">
              <a:solidFill>
                <a:schemeClr val="accent2"/>
              </a:solidFill>
              <a:round/>
            </a:ln>
            <a:effectLst/>
          </c:spPr>
          <c:marker>
            <c:symbol val="none"/>
          </c:marker>
          <c:cat>
            <c:numRef>
              <c:f>Sheet1!$A$16:$A$37</c:f>
              <c:numCache>
                <c:formatCode>General</c:formatCode>
                <c:ptCount val="22"/>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numCache>
            </c:numRef>
          </c:cat>
          <c:val>
            <c:numRef>
              <c:f>Sheet1!$K$41:$K$62</c:f>
              <c:numCache>
                <c:formatCode>"$"#,##0.00</c:formatCode>
                <c:ptCount val="22"/>
                <c:pt idx="0">
                  <c:v>-383899.2</c:v>
                </c:pt>
                <c:pt idx="1">
                  <c:v>-1375201.56</c:v>
                </c:pt>
                <c:pt idx="2">
                  <c:v>-5644188.260775933</c:v>
                </c:pt>
                <c:pt idx="3">
                  <c:v>-21913151.427070554</c:v>
                </c:pt>
                <c:pt idx="4">
                  <c:v>-36607771.866724148</c:v>
                </c:pt>
                <c:pt idx="5">
                  <c:v>-49223211.89677152</c:v>
                </c:pt>
                <c:pt idx="6">
                  <c:v>-58588232.233279347</c:v>
                </c:pt>
                <c:pt idx="7">
                  <c:v>-65623797.031718962</c:v>
                </c:pt>
                <c:pt idx="8">
                  <c:v>-70962932.819957599</c:v>
                </c:pt>
                <c:pt idx="9">
                  <c:v>-74758137.688174725</c:v>
                </c:pt>
                <c:pt idx="10">
                  <c:v>-77128141.087248206</c:v>
                </c:pt>
                <c:pt idx="11">
                  <c:v>-78184654.574831277</c:v>
                </c:pt>
                <c:pt idx="12" formatCode="&quot;$&quot;#,##0.00_);\(&quot;$&quot;#,##0.00\)">
                  <c:v>-71103587.183986858</c:v>
                </c:pt>
                <c:pt idx="13" formatCode="&quot;$&quot;#,##0.00_);\(&quot;$&quot;#,##0.00\)">
                  <c:v>-55868182.342967771</c:v>
                </c:pt>
                <c:pt idx="14" formatCode="&quot;$&quot;#,##0.00_);\(&quot;$&quot;#,##0.00\)">
                  <c:v>-41158319.447179258</c:v>
                </c:pt>
                <c:pt idx="15" formatCode="&quot;$&quot;#,##0.00_);\(&quot;$&quot;#,##0.00\)">
                  <c:v>-26958232.238264401</c:v>
                </c:pt>
                <c:pt idx="16" formatCode="&quot;$&quot;#,##0.00_);\(&quot;$&quot;#,##0.00\)">
                  <c:v>-13252627.44561699</c:v>
                </c:pt>
                <c:pt idx="17" formatCode="&quot;$&quot;#,##0.00_);\(&quot;$&quot;#,##0.00\)">
                  <c:v>-26670.596749003977</c:v>
                </c:pt>
                <c:pt idx="18" formatCode="&quot;$&quot;#,##0.00_);\(&quot;$&quot;#,##0.00\)">
                  <c:v>12734027.746652942</c:v>
                </c:pt>
                <c:pt idx="19" formatCode="&quot;$&quot;#,##0.00_);\(&quot;$&quot;#,##0.00\)">
                  <c:v>25043425.339752831</c:v>
                </c:pt>
                <c:pt idx="20" formatCode="&quot;$&quot;#,##0.00_);\(&quot;$&quot;#,##0.00\)">
                  <c:v>36915061.205059722</c:v>
                </c:pt>
                <c:pt idx="21" formatCode="&quot;$&quot;#,##0.00_);\(&quot;$&quot;#,##0.00\)">
                  <c:v>48489988.194407403</c:v>
                </c:pt>
              </c:numCache>
            </c:numRef>
          </c:val>
          <c:smooth val="0"/>
          <c:extLst>
            <c:ext xmlns:c16="http://schemas.microsoft.com/office/drawing/2014/chart" uri="{C3380CC4-5D6E-409C-BE32-E72D297353CC}">
              <c16:uniqueId val="{00000001-8AE6-4F3F-824F-3D27C7AC8DA6}"/>
            </c:ext>
          </c:extLst>
        </c:ser>
        <c:ser>
          <c:idx val="2"/>
          <c:order val="2"/>
          <c:tx>
            <c:v>Pessimistic cumulative</c:v>
          </c:tx>
          <c:spPr>
            <a:ln w="28575" cap="rnd">
              <a:solidFill>
                <a:schemeClr val="accent3"/>
              </a:solidFill>
              <a:round/>
            </a:ln>
            <a:effectLst/>
          </c:spPr>
          <c:marker>
            <c:symbol val="none"/>
          </c:marker>
          <c:cat>
            <c:numRef>
              <c:f>Sheet1!$A$16:$A$37</c:f>
              <c:numCache>
                <c:formatCode>General</c:formatCode>
                <c:ptCount val="22"/>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numCache>
            </c:numRef>
          </c:cat>
          <c:val>
            <c:numRef>
              <c:f>Sheet1!$K$67:$K$88</c:f>
              <c:numCache>
                <c:formatCode>"$"#,##0.00</c:formatCode>
                <c:ptCount val="22"/>
                <c:pt idx="0">
                  <c:v>-383899.2</c:v>
                </c:pt>
                <c:pt idx="1">
                  <c:v>-1375201.56</c:v>
                </c:pt>
                <c:pt idx="2">
                  <c:v>-5682408.2307675462</c:v>
                </c:pt>
                <c:pt idx="3">
                  <c:v>-17522894.302280743</c:v>
                </c:pt>
                <c:pt idx="4">
                  <c:v>-29017641.228968307</c:v>
                </c:pt>
                <c:pt idx="5">
                  <c:v>-39630299.111034021</c:v>
                </c:pt>
                <c:pt idx="6">
                  <c:v>-48155978.346523352</c:v>
                </c:pt>
                <c:pt idx="7">
                  <c:v>-55480178.516288772</c:v>
                </c:pt>
                <c:pt idx="8">
                  <c:v>-62198944.089713953</c:v>
                </c:pt>
                <c:pt idx="9">
                  <c:v>-68426545.186908498</c:v>
                </c:pt>
                <c:pt idx="10">
                  <c:v>-74242485.50246191</c:v>
                </c:pt>
                <c:pt idx="11">
                  <c:v>-79718479.372695327</c:v>
                </c:pt>
                <c:pt idx="12" formatCode="&quot;$&quot;#,##0.00_);\(&quot;$&quot;#,##0.00\)">
                  <c:v>-79786436.587417066</c:v>
                </c:pt>
                <c:pt idx="13" formatCode="&quot;$&quot;#,##0.00_);\(&quot;$&quot;#,##0.00\)">
                  <c:v>-74426887.870402724</c:v>
                </c:pt>
                <c:pt idx="14" formatCode="&quot;$&quot;#,##0.00_);\(&quot;$&quot;#,##0.00\)">
                  <c:v>-69418759.589239091</c:v>
                </c:pt>
                <c:pt idx="15" formatCode="&quot;$&quot;#,##0.00_);\(&quot;$&quot;#,##0.00\)">
                  <c:v>-64744480.722133651</c:v>
                </c:pt>
                <c:pt idx="16" formatCode="&quot;$&quot;#,##0.00_);\(&quot;$&quot;#,##0.00\)">
                  <c:v>-60387358.798383482</c:v>
                </c:pt>
                <c:pt idx="17" formatCode="&quot;$&quot;#,##0.00_);\(&quot;$&quot;#,##0.00\)">
                  <c:v>-56331535.970820822</c:v>
                </c:pt>
                <c:pt idx="18" formatCode="&quot;$&quot;#,##0.00_);\(&quot;$&quot;#,##0.00\)">
                  <c:v>-52561947.284636289</c:v>
                </c:pt>
                <c:pt idx="19" formatCode="&quot;$&quot;#,##0.00_);\(&quot;$&quot;#,##0.00\)">
                  <c:v>-49064281.032760985</c:v>
                </c:pt>
                <c:pt idx="20" formatCode="&quot;$&quot;#,##0.00_);\(&quot;$&quot;#,##0.00\)">
                  <c:v>-45824941.093479447</c:v>
                </c:pt>
                <c:pt idx="21" formatCode="&quot;$&quot;#,##0.00_);\(&quot;$&quot;#,##0.00\)">
                  <c:v>-42703091.151161984</c:v>
                </c:pt>
              </c:numCache>
            </c:numRef>
          </c:val>
          <c:smooth val="0"/>
          <c:extLst>
            <c:ext xmlns:c16="http://schemas.microsoft.com/office/drawing/2014/chart" uri="{C3380CC4-5D6E-409C-BE32-E72D297353CC}">
              <c16:uniqueId val="{00000002-8AE6-4F3F-824F-3D27C7AC8DA6}"/>
            </c:ext>
          </c:extLst>
        </c:ser>
        <c:dLbls>
          <c:showLegendKey val="0"/>
          <c:showVal val="0"/>
          <c:showCatName val="0"/>
          <c:showSerName val="0"/>
          <c:showPercent val="0"/>
          <c:showBubbleSize val="0"/>
        </c:dLbls>
        <c:smooth val="0"/>
        <c:axId val="333299672"/>
        <c:axId val="333300064"/>
      </c:lineChart>
      <c:dateAx>
        <c:axId val="333299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300064"/>
        <c:crosses val="autoZero"/>
        <c:auto val="0"/>
        <c:lblOffset val="100"/>
        <c:baseTimeUnit val="days"/>
      </c:dateAx>
      <c:valAx>
        <c:axId val="33330006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299672"/>
        <c:crosses val="autoZero"/>
        <c:crossBetween val="between"/>
        <c:dispUnits>
          <c:builtInUnit val="millions"/>
          <c:dispUnitsLbl>
            <c:layout>
              <c:manualLayout>
                <c:xMode val="edge"/>
                <c:yMode val="edge"/>
                <c:x val="1.963409192324855E-2"/>
                <c:y val="0.43869803797800183"/>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Optimistic NPV</c:v>
          </c:tx>
          <c:spPr>
            <a:ln w="28575" cap="rnd">
              <a:solidFill>
                <a:schemeClr val="accent1"/>
              </a:solidFill>
              <a:round/>
            </a:ln>
            <a:effectLst/>
          </c:spPr>
          <c:marker>
            <c:symbol val="none"/>
          </c:marker>
          <c:cat>
            <c:numRef>
              <c:f>Sheet1!$A$16:$A$37</c:f>
              <c:numCache>
                <c:formatCode>General</c:formatCode>
                <c:ptCount val="22"/>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numCache>
            </c:numRef>
          </c:cat>
          <c:val>
            <c:numRef>
              <c:f>Sheet1!$N$16:$N$37</c:f>
              <c:numCache>
                <c:formatCode>"$"#,##0.00_);[Red]\("$"#,##0.00\)</c:formatCode>
                <c:ptCount val="22"/>
                <c:pt idx="0">
                  <c:v>-348999.27272727271</c:v>
                </c:pt>
                <c:pt idx="1">
                  <c:v>-1168257.4214876031</c:v>
                </c:pt>
                <c:pt idx="2">
                  <c:v>-4318179.8562634597</c:v>
                </c:pt>
                <c:pt idx="3">
                  <c:v>-20539748.35066957</c:v>
                </c:pt>
                <c:pt idx="4">
                  <c:v>-31878751.211084835</c:v>
                </c:pt>
                <c:pt idx="5">
                  <c:v>-38793788.980803281</c:v>
                </c:pt>
                <c:pt idx="6">
                  <c:v>-41387724.757700115</c:v>
                </c:pt>
                <c:pt idx="7">
                  <c:v>-40814664.44559709</c:v>
                </c:pt>
                <c:pt idx="8">
                  <c:v>-37895595.651137985</c:v>
                </c:pt>
                <c:pt idx="9">
                  <c:v>-33120468.592497636</c:v>
                </c:pt>
                <c:pt idx="10">
                  <c:v>-26893715.026100963</c:v>
                </c:pt>
                <c:pt idx="11">
                  <c:v>-19556598.32202699</c:v>
                </c:pt>
                <c:pt idx="12">
                  <c:v>-8849059.8466050886</c:v>
                </c:pt>
                <c:pt idx="13">
                  <c:v>4556921.2442303989</c:v>
                </c:pt>
                <c:pt idx="14">
                  <c:v>16613900.942630149</c:v>
                </c:pt>
                <c:pt idx="15">
                  <c:v>27457543.322687939</c:v>
                </c:pt>
                <c:pt idx="16">
                  <c:v>37209876.602465414</c:v>
                </c:pt>
                <c:pt idx="17">
                  <c:v>45980663.043106474</c:v>
                </c:pt>
                <c:pt idx="18">
                  <c:v>53868631.28408464</c:v>
                </c:pt>
                <c:pt idx="19">
                  <c:v>60962584.923147917</c:v>
                </c:pt>
                <c:pt idx="20">
                  <c:v>67342399.763925686</c:v>
                </c:pt>
                <c:pt idx="21">
                  <c:v>73095635.364493281</c:v>
                </c:pt>
              </c:numCache>
            </c:numRef>
          </c:val>
          <c:smooth val="0"/>
          <c:extLst>
            <c:ext xmlns:c16="http://schemas.microsoft.com/office/drawing/2014/chart" uri="{C3380CC4-5D6E-409C-BE32-E72D297353CC}">
              <c16:uniqueId val="{00000000-861F-4453-8FDB-192AF10CDCBD}"/>
            </c:ext>
          </c:extLst>
        </c:ser>
        <c:ser>
          <c:idx val="1"/>
          <c:order val="1"/>
          <c:tx>
            <c:v>Expected NPV</c:v>
          </c:tx>
          <c:spPr>
            <a:ln w="28575" cap="rnd">
              <a:solidFill>
                <a:schemeClr val="accent2"/>
              </a:solidFill>
              <a:round/>
            </a:ln>
            <a:effectLst/>
          </c:spPr>
          <c:marker>
            <c:symbol val="none"/>
          </c:marker>
          <c:cat>
            <c:numRef>
              <c:f>Sheet1!$A$16:$A$37</c:f>
              <c:numCache>
                <c:formatCode>General</c:formatCode>
                <c:ptCount val="22"/>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numCache>
            </c:numRef>
          </c:cat>
          <c:val>
            <c:numRef>
              <c:f>Sheet1!$N$41:$N$62</c:f>
              <c:numCache>
                <c:formatCode>"$"#,##0.00_);[Red]\("$"#,##0.00\)</c:formatCode>
                <c:ptCount val="22"/>
                <c:pt idx="0">
                  <c:v>-348999.27272727271</c:v>
                </c:pt>
                <c:pt idx="1">
                  <c:v>-1168257.4214876031</c:v>
                </c:pt>
                <c:pt idx="2">
                  <c:v>-4375610.3146325555</c:v>
                </c:pt>
                <c:pt idx="3">
                  <c:v>-15487531.062050501</c:v>
                </c:pt>
                <c:pt idx="4">
                  <c:v>-24611734.22729231</c:v>
                </c:pt>
                <c:pt idx="5">
                  <c:v>-31732821.24041089</c:v>
                </c:pt>
                <c:pt idx="6">
                  <c:v>-36538557.453485541</c:v>
                </c:pt>
                <c:pt idx="7">
                  <c:v>-39820700.35590142</c:v>
                </c:pt>
                <c:pt idx="8">
                  <c:v>-42085015.127860732</c:v>
                </c:pt>
                <c:pt idx="9">
                  <c:v>-43548230.896812133</c:v>
                </c:pt>
                <c:pt idx="10">
                  <c:v>-44378902.629937552</c:v>
                </c:pt>
                <c:pt idx="11">
                  <c:v>-44715540.386408173</c:v>
                </c:pt>
                <c:pt idx="12">
                  <c:v>-42664407.392765537</c:v>
                </c:pt>
                <c:pt idx="13">
                  <c:v>-38652449.126119062</c:v>
                </c:pt>
                <c:pt idx="14">
                  <c:v>-35131024.901556835</c:v>
                </c:pt>
                <c:pt idx="15">
                  <c:v>-32040672.19413596</c:v>
                </c:pt>
                <c:pt idx="16">
                  <c:v>-29329091.351858526</c:v>
                </c:pt>
                <c:pt idx="17">
                  <c:v>-26950286.757629655</c:v>
                </c:pt>
                <c:pt idx="18">
                  <c:v>-24863810.609956216</c:v>
                </c:pt>
                <c:pt idx="19">
                  <c:v>-23034097.092926189</c:v>
                </c:pt>
                <c:pt idx="20">
                  <c:v>-21429876.160561863</c:v>
                </c:pt>
                <c:pt idx="21">
                  <c:v>-20007942.985511273</c:v>
                </c:pt>
              </c:numCache>
            </c:numRef>
          </c:val>
          <c:smooth val="0"/>
          <c:extLst>
            <c:ext xmlns:c16="http://schemas.microsoft.com/office/drawing/2014/chart" uri="{C3380CC4-5D6E-409C-BE32-E72D297353CC}">
              <c16:uniqueId val="{00000001-861F-4453-8FDB-192AF10CDCBD}"/>
            </c:ext>
          </c:extLst>
        </c:ser>
        <c:ser>
          <c:idx val="2"/>
          <c:order val="2"/>
          <c:tx>
            <c:v>Pessimistic NPV</c:v>
          </c:tx>
          <c:spPr>
            <a:ln w="28575" cap="rnd">
              <a:solidFill>
                <a:schemeClr val="accent3"/>
              </a:solidFill>
              <a:round/>
            </a:ln>
            <a:effectLst/>
          </c:spPr>
          <c:marker>
            <c:symbol val="none"/>
          </c:marker>
          <c:val>
            <c:numRef>
              <c:f>Sheet1!$N$67:$N$88</c:f>
              <c:numCache>
                <c:formatCode>"$"#,##0.00_);[Red]\("$"#,##0.00\)</c:formatCode>
                <c:ptCount val="22"/>
                <c:pt idx="0">
                  <c:v>-348999.27272727271</c:v>
                </c:pt>
                <c:pt idx="1">
                  <c:v>-1168257.4214876031</c:v>
                </c:pt>
                <c:pt idx="2">
                  <c:v>-4404325.5437772684</c:v>
                </c:pt>
                <c:pt idx="3">
                  <c:v>-12491536.848683486</c:v>
                </c:pt>
                <c:pt idx="4">
                  <c:v>-19628870.318632483</c:v>
                </c:pt>
                <c:pt idx="5">
                  <c:v>-25619439.021638311</c:v>
                </c:pt>
                <c:pt idx="6">
                  <c:v>-29994460.534760624</c:v>
                </c:pt>
                <c:pt idx="7">
                  <c:v>-33411253.968089573</c:v>
                </c:pt>
                <c:pt idx="8">
                  <c:v>-36260666.446182229</c:v>
                </c:pt>
                <c:pt idx="9">
                  <c:v>-38661676.258449577</c:v>
                </c:pt>
                <c:pt idx="10">
                  <c:v>-40700127.858798936</c:v>
                </c:pt>
                <c:pt idx="11">
                  <c:v>-42444948.263448305</c:v>
                </c:pt>
                <c:pt idx="12">
                  <c:v>-42464633.047899306</c:v>
                </c:pt>
                <c:pt idx="13">
                  <c:v>-41053296.361733377</c:v>
                </c:pt>
                <c:pt idx="14">
                  <c:v>-39854390.269001953</c:v>
                </c:pt>
                <c:pt idx="15">
                  <c:v>-38837130.998711646</c:v>
                </c:pt>
                <c:pt idx="16">
                  <c:v>-37975097.654349774</c:v>
                </c:pt>
                <c:pt idx="17">
                  <c:v>-37245622.268498182</c:v>
                </c:pt>
                <c:pt idx="18">
                  <c:v>-36629264.396177627</c:v>
                </c:pt>
                <c:pt idx="19">
                  <c:v>-36109358.594881281</c:v>
                </c:pt>
                <c:pt idx="20">
                  <c:v>-35671624.739446446</c:v>
                </c:pt>
                <c:pt idx="21">
                  <c:v>-35288118.043931544</c:v>
                </c:pt>
              </c:numCache>
            </c:numRef>
          </c:val>
          <c:smooth val="0"/>
          <c:extLst>
            <c:ext xmlns:c16="http://schemas.microsoft.com/office/drawing/2014/chart" uri="{C3380CC4-5D6E-409C-BE32-E72D297353CC}">
              <c16:uniqueId val="{00000002-861F-4453-8FDB-192AF10CDCBD}"/>
            </c:ext>
          </c:extLst>
        </c:ser>
        <c:dLbls>
          <c:showLegendKey val="0"/>
          <c:showVal val="0"/>
          <c:showCatName val="0"/>
          <c:showSerName val="0"/>
          <c:showPercent val="0"/>
          <c:showBubbleSize val="0"/>
        </c:dLbls>
        <c:smooth val="0"/>
        <c:axId val="333300848"/>
        <c:axId val="332792280"/>
      </c:lineChart>
      <c:catAx>
        <c:axId val="33330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792280"/>
        <c:crosses val="autoZero"/>
        <c:auto val="1"/>
        <c:lblAlgn val="ctr"/>
        <c:lblOffset val="100"/>
        <c:noMultiLvlLbl val="0"/>
      </c:catAx>
      <c:valAx>
        <c:axId val="3327922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300848"/>
        <c:crosses val="autoZero"/>
        <c:crossBetween val="between"/>
        <c:dispUnits>
          <c:builtInUnit val="millions"/>
          <c:dispUnitsLbl>
            <c:layout>
              <c:manualLayout>
                <c:xMode val="edge"/>
                <c:yMode val="edge"/>
                <c:x val="1.9091371000959079E-2"/>
                <c:y val="0.16221747730183741"/>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Sheet1!$L$15</c:f>
              <c:strCache>
                <c:ptCount val="1"/>
                <c:pt idx="0">
                  <c:v>Outgoings</c:v>
                </c:pt>
              </c:strCache>
            </c:strRef>
          </c:tx>
          <c:spPr>
            <a:solidFill>
              <a:schemeClr val="accent1"/>
            </a:solidFill>
            <a:ln>
              <a:noFill/>
            </a:ln>
            <a:effectLst/>
          </c:spPr>
          <c:invertIfNegative val="0"/>
          <c:cat>
            <c:numRef>
              <c:f>Sheet1!$A$16:$A$37</c:f>
              <c:numCache>
                <c:formatCode>General</c:formatCode>
                <c:ptCount val="22"/>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numCache>
            </c:numRef>
          </c:cat>
          <c:val>
            <c:numRef>
              <c:f>Sheet1!$L$16:$L$37</c:f>
              <c:numCache>
                <c:formatCode>"$"#,##0.00</c:formatCode>
                <c:ptCount val="22"/>
                <c:pt idx="0">
                  <c:v>383899.2</c:v>
                </c:pt>
                <c:pt idx="1">
                  <c:v>991302.36</c:v>
                </c:pt>
                <c:pt idx="2">
                  <c:v>4412960.9566666661</c:v>
                </c:pt>
                <c:pt idx="3">
                  <c:v>31023666.899999999</c:v>
                </c:pt>
                <c:pt idx="4">
                  <c:v>32008810.899999999</c:v>
                </c:pt>
                <c:pt idx="5">
                  <c:v>32341010.899999999</c:v>
                </c:pt>
                <c:pt idx="6">
                  <c:v>31360570.899999999</c:v>
                </c:pt>
                <c:pt idx="7">
                  <c:v>31166130.899999999</c:v>
                </c:pt>
                <c:pt idx="8">
                  <c:v>31475930.899999999</c:v>
                </c:pt>
                <c:pt idx="9">
                  <c:v>31815370.899999999</c:v>
                </c:pt>
                <c:pt idx="10">
                  <c:v>32156370.899999999</c:v>
                </c:pt>
                <c:pt idx="11">
                  <c:v>32497370.899999999</c:v>
                </c:pt>
                <c:pt idx="12">
                  <c:v>18003815.449999999</c:v>
                </c:pt>
                <c:pt idx="13">
                  <c:v>3510260</c:v>
                </c:pt>
                <c:pt idx="14">
                  <c:v>3510260</c:v>
                </c:pt>
                <c:pt idx="15">
                  <c:v>3510260</c:v>
                </c:pt>
                <c:pt idx="16">
                  <c:v>3510260</c:v>
                </c:pt>
                <c:pt idx="17">
                  <c:v>3510260</c:v>
                </c:pt>
                <c:pt idx="18">
                  <c:v>3510260</c:v>
                </c:pt>
                <c:pt idx="19">
                  <c:v>3510260</c:v>
                </c:pt>
                <c:pt idx="20">
                  <c:v>3510260</c:v>
                </c:pt>
                <c:pt idx="21">
                  <c:v>3382340</c:v>
                </c:pt>
              </c:numCache>
            </c:numRef>
          </c:val>
          <c:extLst>
            <c:ext xmlns:c16="http://schemas.microsoft.com/office/drawing/2014/chart" uri="{C3380CC4-5D6E-409C-BE32-E72D297353CC}">
              <c16:uniqueId val="{00000000-F0EB-47D7-9D5A-B785081A6C9B}"/>
            </c:ext>
          </c:extLst>
        </c:ser>
        <c:ser>
          <c:idx val="1"/>
          <c:order val="1"/>
          <c:tx>
            <c:strRef>
              <c:f>Sheet1!$M$15</c:f>
              <c:strCache>
                <c:ptCount val="1"/>
                <c:pt idx="0">
                  <c:v>income</c:v>
                </c:pt>
              </c:strCache>
            </c:strRef>
          </c:tx>
          <c:spPr>
            <a:solidFill>
              <a:schemeClr val="accent2"/>
            </a:solidFill>
            <a:ln>
              <a:noFill/>
            </a:ln>
            <a:effectLst/>
          </c:spPr>
          <c:invertIfNegative val="0"/>
          <c:val>
            <c:numRef>
              <c:f>Sheet1!$M$16:$M$37</c:f>
              <c:numCache>
                <c:formatCode>"$"#,##0.00</c:formatCode>
                <c:ptCount val="22"/>
                <c:pt idx="0">
                  <c:v>0</c:v>
                </c:pt>
                <c:pt idx="1">
                  <c:v>0</c:v>
                </c:pt>
                <c:pt idx="2">
                  <c:v>220414.19597999999</c:v>
                </c:pt>
                <c:pt idx="3">
                  <c:v>7273668.46734</c:v>
                </c:pt>
                <c:pt idx="4">
                  <c:v>13747233.403272601</c:v>
                </c:pt>
                <c:pt idx="5">
                  <c:v>20090599.673639815</c:v>
                </c:pt>
                <c:pt idx="6">
                  <c:v>26305723.895259358</c:v>
                </c:pt>
                <c:pt idx="7">
                  <c:v>32394536.572479144</c:v>
                </c:pt>
                <c:pt idx="8">
                  <c:v>38358942.423765011</c:v>
                </c:pt>
                <c:pt idx="9">
                  <c:v>44200820.704367913</c:v>
                </c:pt>
                <c:pt idx="10">
                  <c:v>49922025.525116384</c:v>
                </c:pt>
                <c:pt idx="11">
                  <c:v>55524386.167379439</c:v>
                </c:pt>
                <c:pt idx="12">
                  <c:v>54969142.305705644</c:v>
                </c:pt>
                <c:pt idx="13">
                  <c:v>54419450.882648587</c:v>
                </c:pt>
                <c:pt idx="14">
                  <c:v>53875256.3738221</c:v>
                </c:pt>
                <c:pt idx="15">
                  <c:v>53336503.810083881</c:v>
                </c:pt>
                <c:pt idx="16">
                  <c:v>52803138.771983042</c:v>
                </c:pt>
                <c:pt idx="17">
                  <c:v>52275107.38426321</c:v>
                </c:pt>
                <c:pt idx="18">
                  <c:v>51752356.31042058</c:v>
                </c:pt>
                <c:pt idx="19">
                  <c:v>51234832.747316375</c:v>
                </c:pt>
                <c:pt idx="20">
                  <c:v>50722484.419843212</c:v>
                </c:pt>
                <c:pt idx="21">
                  <c:v>50215259.575644776</c:v>
                </c:pt>
              </c:numCache>
            </c:numRef>
          </c:val>
          <c:extLst>
            <c:ext xmlns:c16="http://schemas.microsoft.com/office/drawing/2014/chart" uri="{C3380CC4-5D6E-409C-BE32-E72D297353CC}">
              <c16:uniqueId val="{00000001-F0EB-47D7-9D5A-B785081A6C9B}"/>
            </c:ext>
          </c:extLst>
        </c:ser>
        <c:ser>
          <c:idx val="2"/>
          <c:order val="2"/>
          <c:tx>
            <c:v>Net profit</c:v>
          </c:tx>
          <c:spPr>
            <a:solidFill>
              <a:schemeClr val="accent3"/>
            </a:solidFill>
            <a:ln>
              <a:noFill/>
            </a:ln>
            <a:effectLst/>
          </c:spPr>
          <c:invertIfNegative val="0"/>
          <c:val>
            <c:numRef>
              <c:f>Sheet1!$I$16:$I$37</c:f>
              <c:numCache>
                <c:formatCode>"$"#,##0.00</c:formatCode>
                <c:ptCount val="22"/>
                <c:pt idx="0">
                  <c:v>-383899.2</c:v>
                </c:pt>
                <c:pt idx="1">
                  <c:v>-991302.36</c:v>
                </c:pt>
                <c:pt idx="2">
                  <c:v>-4192546.7606866662</c:v>
                </c:pt>
                <c:pt idx="3">
                  <c:v>-23749998.432659999</c:v>
                </c:pt>
                <c:pt idx="4">
                  <c:v>-18261577.4967274</c:v>
                </c:pt>
                <c:pt idx="5">
                  <c:v>-12250411.226360183</c:v>
                </c:pt>
                <c:pt idx="6">
                  <c:v>-5054847.0047406405</c:v>
                </c:pt>
                <c:pt idx="7">
                  <c:v>1228405.6724791452</c:v>
                </c:pt>
                <c:pt idx="8">
                  <c:v>6883011.5237650126</c:v>
                </c:pt>
                <c:pt idx="9">
                  <c:v>12385449.804367915</c:v>
                </c:pt>
                <c:pt idx="10">
                  <c:v>17765654.625116386</c:v>
                </c:pt>
                <c:pt idx="11">
                  <c:v>23027015.26737944</c:v>
                </c:pt>
                <c:pt idx="12">
                  <c:v>36965326.855705649</c:v>
                </c:pt>
                <c:pt idx="13">
                  <c:v>50909190.882648587</c:v>
                </c:pt>
                <c:pt idx="14">
                  <c:v>50364996.3738221</c:v>
                </c:pt>
                <c:pt idx="15">
                  <c:v>49826243.810083881</c:v>
                </c:pt>
                <c:pt idx="16">
                  <c:v>49292878.771983042</c:v>
                </c:pt>
                <c:pt idx="17">
                  <c:v>48764847.38426321</c:v>
                </c:pt>
                <c:pt idx="18">
                  <c:v>48242096.31042058</c:v>
                </c:pt>
                <c:pt idx="19">
                  <c:v>47724572.747316375</c:v>
                </c:pt>
                <c:pt idx="20">
                  <c:v>47212224.419843212</c:v>
                </c:pt>
                <c:pt idx="21">
                  <c:v>46832919.575644776</c:v>
                </c:pt>
              </c:numCache>
            </c:numRef>
          </c:val>
          <c:extLst>
            <c:ext xmlns:c16="http://schemas.microsoft.com/office/drawing/2014/chart" uri="{C3380CC4-5D6E-409C-BE32-E72D297353CC}">
              <c16:uniqueId val="{00000002-F0EB-47D7-9D5A-B785081A6C9B}"/>
            </c:ext>
          </c:extLst>
        </c:ser>
        <c:dLbls>
          <c:showLegendKey val="0"/>
          <c:showVal val="0"/>
          <c:showCatName val="0"/>
          <c:showSerName val="0"/>
          <c:showPercent val="0"/>
          <c:showBubbleSize val="0"/>
        </c:dLbls>
        <c:gapWidth val="219"/>
        <c:overlap val="-27"/>
        <c:axId val="331495352"/>
        <c:axId val="248181752"/>
      </c:barChart>
      <c:catAx>
        <c:axId val="33149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181752"/>
        <c:crosses val="autoZero"/>
        <c:auto val="1"/>
        <c:lblAlgn val="ctr"/>
        <c:lblOffset val="100"/>
        <c:noMultiLvlLbl val="0"/>
      </c:catAx>
      <c:valAx>
        <c:axId val="248181752"/>
        <c:scaling>
          <c:orientation val="minMax"/>
          <c:min val="-30000000"/>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495352"/>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Sheet1!$L$40</c:f>
              <c:strCache>
                <c:ptCount val="1"/>
                <c:pt idx="0">
                  <c:v>Outgoings</c:v>
                </c:pt>
              </c:strCache>
            </c:strRef>
          </c:tx>
          <c:spPr>
            <a:solidFill>
              <a:schemeClr val="accent1"/>
            </a:solidFill>
            <a:ln>
              <a:noFill/>
            </a:ln>
            <a:effectLst/>
          </c:spPr>
          <c:invertIfNegative val="0"/>
          <c:cat>
            <c:numRef>
              <c:f>Sheet1!$A$41:$A$62</c:f>
              <c:numCache>
                <c:formatCode>General</c:formatCode>
                <c:ptCount val="22"/>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numCache>
            </c:numRef>
          </c:cat>
          <c:val>
            <c:numRef>
              <c:f>Sheet1!$L$41:$L$62</c:f>
              <c:numCache>
                <c:formatCode>"$"#,##0.00</c:formatCode>
                <c:ptCount val="22"/>
                <c:pt idx="0">
                  <c:v>383899.2</c:v>
                </c:pt>
                <c:pt idx="1">
                  <c:v>991302.36</c:v>
                </c:pt>
                <c:pt idx="2">
                  <c:v>4412960.9566666661</c:v>
                </c:pt>
                <c:pt idx="3">
                  <c:v>19292422.539999999</c:v>
                </c:pt>
                <c:pt idx="4">
                  <c:v>20141166.539999999</c:v>
                </c:pt>
                <c:pt idx="5">
                  <c:v>20336966.539999999</c:v>
                </c:pt>
                <c:pt idx="6">
                  <c:v>19220126.539999999</c:v>
                </c:pt>
                <c:pt idx="7">
                  <c:v>18889286.539999999</c:v>
                </c:pt>
                <c:pt idx="8">
                  <c:v>19062686.539999999</c:v>
                </c:pt>
                <c:pt idx="9">
                  <c:v>19265726.539999999</c:v>
                </c:pt>
                <c:pt idx="10">
                  <c:v>19470326.539999999</c:v>
                </c:pt>
                <c:pt idx="11">
                  <c:v>19674926.539999999</c:v>
                </c:pt>
                <c:pt idx="12">
                  <c:v>10978793.27</c:v>
                </c:pt>
                <c:pt idx="13">
                  <c:v>2282660</c:v>
                </c:pt>
                <c:pt idx="14">
                  <c:v>2282660</c:v>
                </c:pt>
                <c:pt idx="15">
                  <c:v>2282660</c:v>
                </c:pt>
                <c:pt idx="16">
                  <c:v>2282660</c:v>
                </c:pt>
                <c:pt idx="17">
                  <c:v>2282660</c:v>
                </c:pt>
                <c:pt idx="18">
                  <c:v>2282660</c:v>
                </c:pt>
                <c:pt idx="19">
                  <c:v>2282660</c:v>
                </c:pt>
                <c:pt idx="20">
                  <c:v>2282660</c:v>
                </c:pt>
                <c:pt idx="21">
                  <c:v>2154740</c:v>
                </c:pt>
              </c:numCache>
            </c:numRef>
          </c:val>
          <c:extLst>
            <c:ext xmlns:c16="http://schemas.microsoft.com/office/drawing/2014/chart" uri="{C3380CC4-5D6E-409C-BE32-E72D297353CC}">
              <c16:uniqueId val="{00000000-2453-4443-BE5B-12536F12C43E}"/>
            </c:ext>
          </c:extLst>
        </c:ser>
        <c:ser>
          <c:idx val="1"/>
          <c:order val="1"/>
          <c:tx>
            <c:strRef>
              <c:f>Sheet1!$M$40</c:f>
              <c:strCache>
                <c:ptCount val="1"/>
                <c:pt idx="0">
                  <c:v>income</c:v>
                </c:pt>
              </c:strCache>
            </c:strRef>
          </c:tx>
          <c:spPr>
            <a:solidFill>
              <a:schemeClr val="accent2"/>
            </a:solidFill>
            <a:ln>
              <a:noFill/>
            </a:ln>
            <a:effectLst/>
          </c:spPr>
          <c:invertIfNegative val="0"/>
          <c:cat>
            <c:numRef>
              <c:f>Sheet1!$A$41:$A$62</c:f>
              <c:numCache>
                <c:formatCode>General</c:formatCode>
                <c:ptCount val="22"/>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numCache>
            </c:numRef>
          </c:cat>
          <c:val>
            <c:numRef>
              <c:f>Sheet1!$M$41:$M$62</c:f>
              <c:numCache>
                <c:formatCode>"$"#,##0.00</c:formatCode>
                <c:ptCount val="22"/>
                <c:pt idx="0">
                  <c:v>0</c:v>
                </c:pt>
                <c:pt idx="1">
                  <c:v>0</c:v>
                </c:pt>
                <c:pt idx="2">
                  <c:v>143974.25589073228</c:v>
                </c:pt>
                <c:pt idx="3">
                  <c:v>3023459.3737053783</c:v>
                </c:pt>
                <c:pt idx="4">
                  <c:v>5446546.1003464032</c:v>
                </c:pt>
                <c:pt idx="5">
                  <c:v>7721526.5099526308</c:v>
                </c:pt>
                <c:pt idx="6">
                  <c:v>9855106.2034921739</c:v>
                </c:pt>
                <c:pt idx="7">
                  <c:v>11853721.741560386</c:v>
                </c:pt>
                <c:pt idx="8">
                  <c:v>13723550.751761362</c:v>
                </c:pt>
                <c:pt idx="9">
                  <c:v>15470521.671782875</c:v>
                </c:pt>
                <c:pt idx="10">
                  <c:v>17100323.14092651</c:v>
                </c:pt>
                <c:pt idx="11">
                  <c:v>18618413.052416924</c:v>
                </c:pt>
                <c:pt idx="12">
                  <c:v>18059860.660844419</c:v>
                </c:pt>
                <c:pt idx="13">
                  <c:v>17518064.841019087</c:v>
                </c:pt>
                <c:pt idx="14">
                  <c:v>16992522.895788513</c:v>
                </c:pt>
                <c:pt idx="15">
                  <c:v>16482747.208914857</c:v>
                </c:pt>
                <c:pt idx="16">
                  <c:v>15988264.79264741</c:v>
                </c:pt>
                <c:pt idx="17">
                  <c:v>15508616.848867986</c:v>
                </c:pt>
                <c:pt idx="18">
                  <c:v>15043358.343401946</c:v>
                </c:pt>
                <c:pt idx="19">
                  <c:v>14592057.593099887</c:v>
                </c:pt>
                <c:pt idx="20">
                  <c:v>14154295.86530689</c:v>
                </c:pt>
                <c:pt idx="21">
                  <c:v>13729666.989347683</c:v>
                </c:pt>
              </c:numCache>
            </c:numRef>
          </c:val>
          <c:extLst>
            <c:ext xmlns:c16="http://schemas.microsoft.com/office/drawing/2014/chart" uri="{C3380CC4-5D6E-409C-BE32-E72D297353CC}">
              <c16:uniqueId val="{00000001-2453-4443-BE5B-12536F12C43E}"/>
            </c:ext>
          </c:extLst>
        </c:ser>
        <c:ser>
          <c:idx val="2"/>
          <c:order val="2"/>
          <c:tx>
            <c:v>Net Profit</c:v>
          </c:tx>
          <c:spPr>
            <a:solidFill>
              <a:schemeClr val="accent3"/>
            </a:solidFill>
            <a:ln>
              <a:noFill/>
            </a:ln>
            <a:effectLst/>
          </c:spPr>
          <c:invertIfNegative val="0"/>
          <c:val>
            <c:numRef>
              <c:f>Sheet1!$I$41:$I$62</c:f>
              <c:numCache>
                <c:formatCode>"$"#,##0.00</c:formatCode>
                <c:ptCount val="22"/>
                <c:pt idx="0">
                  <c:v>-383899.2</c:v>
                </c:pt>
                <c:pt idx="1">
                  <c:v>-991302.36</c:v>
                </c:pt>
                <c:pt idx="2">
                  <c:v>-4268986.7007759335</c:v>
                </c:pt>
                <c:pt idx="3">
                  <c:v>-16268963.166294621</c:v>
                </c:pt>
                <c:pt idx="4">
                  <c:v>-14694620.439653596</c:v>
                </c:pt>
                <c:pt idx="5">
                  <c:v>-12615440.030047368</c:v>
                </c:pt>
                <c:pt idx="6">
                  <c:v>-9365020.3365078252</c:v>
                </c:pt>
                <c:pt idx="7">
                  <c:v>-7035564.7984396126</c:v>
                </c:pt>
                <c:pt idx="8">
                  <c:v>-5339135.7882386371</c:v>
                </c:pt>
                <c:pt idx="9">
                  <c:v>-3795204.8682171237</c:v>
                </c:pt>
                <c:pt idx="10">
                  <c:v>-2370003.399073489</c:v>
                </c:pt>
                <c:pt idx="11">
                  <c:v>-1056513.4875830747</c:v>
                </c:pt>
                <c:pt idx="12">
                  <c:v>7081067.3908444196</c:v>
                </c:pt>
                <c:pt idx="13">
                  <c:v>15235404.841019087</c:v>
                </c:pt>
                <c:pt idx="14">
                  <c:v>14709862.895788513</c:v>
                </c:pt>
                <c:pt idx="15">
                  <c:v>14200087.208914857</c:v>
                </c:pt>
                <c:pt idx="16">
                  <c:v>13705604.79264741</c:v>
                </c:pt>
                <c:pt idx="17">
                  <c:v>13225956.848867986</c:v>
                </c:pt>
                <c:pt idx="18">
                  <c:v>12760698.343401946</c:v>
                </c:pt>
                <c:pt idx="19">
                  <c:v>12309397.593099887</c:v>
                </c:pt>
                <c:pt idx="20">
                  <c:v>11871635.86530689</c:v>
                </c:pt>
                <c:pt idx="21">
                  <c:v>11574926.989347683</c:v>
                </c:pt>
              </c:numCache>
            </c:numRef>
          </c:val>
          <c:extLst>
            <c:ext xmlns:c16="http://schemas.microsoft.com/office/drawing/2014/chart" uri="{C3380CC4-5D6E-409C-BE32-E72D297353CC}">
              <c16:uniqueId val="{00000002-2453-4443-BE5B-12536F12C43E}"/>
            </c:ext>
          </c:extLst>
        </c:ser>
        <c:dLbls>
          <c:showLegendKey val="0"/>
          <c:showVal val="0"/>
          <c:showCatName val="0"/>
          <c:showSerName val="0"/>
          <c:showPercent val="0"/>
          <c:showBubbleSize val="0"/>
        </c:dLbls>
        <c:gapWidth val="219"/>
        <c:overlap val="-27"/>
        <c:axId val="248182536"/>
        <c:axId val="248182928"/>
      </c:barChart>
      <c:catAx>
        <c:axId val="248182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182928"/>
        <c:crosses val="autoZero"/>
        <c:auto val="1"/>
        <c:lblAlgn val="ctr"/>
        <c:lblOffset val="100"/>
        <c:noMultiLvlLbl val="0"/>
      </c:catAx>
      <c:valAx>
        <c:axId val="24818292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182536"/>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Sheet1!$L$66</c:f>
              <c:strCache>
                <c:ptCount val="1"/>
                <c:pt idx="0">
                  <c:v>Outgoings</c:v>
                </c:pt>
              </c:strCache>
            </c:strRef>
          </c:tx>
          <c:spPr>
            <a:solidFill>
              <a:schemeClr val="accent1"/>
            </a:solidFill>
            <a:ln>
              <a:noFill/>
            </a:ln>
            <a:effectLst/>
          </c:spPr>
          <c:invertIfNegative val="0"/>
          <c:cat>
            <c:numRef>
              <c:f>Sheet1!$A$67:$A$88</c:f>
              <c:numCache>
                <c:formatCode>General</c:formatCode>
                <c:ptCount val="22"/>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numCache>
            </c:numRef>
          </c:cat>
          <c:val>
            <c:numRef>
              <c:f>Sheet1!$L$67:$L$88</c:f>
              <c:numCache>
                <c:formatCode>"$"#,##0.00</c:formatCode>
                <c:ptCount val="22"/>
                <c:pt idx="0">
                  <c:v>383899.2</c:v>
                </c:pt>
                <c:pt idx="1">
                  <c:v>991302.36</c:v>
                </c:pt>
                <c:pt idx="2">
                  <c:v>4412960.9566666661</c:v>
                </c:pt>
                <c:pt idx="3">
                  <c:v>13426800.359999999</c:v>
                </c:pt>
                <c:pt idx="4">
                  <c:v>14207344.359999999</c:v>
                </c:pt>
                <c:pt idx="5">
                  <c:v>14334944.359999999</c:v>
                </c:pt>
                <c:pt idx="6">
                  <c:v>13149904.359999999</c:v>
                </c:pt>
                <c:pt idx="7">
                  <c:v>12750864.359999999</c:v>
                </c:pt>
                <c:pt idx="8">
                  <c:v>12856064.359999999</c:v>
                </c:pt>
                <c:pt idx="9">
                  <c:v>12990904.359999999</c:v>
                </c:pt>
                <c:pt idx="10">
                  <c:v>13127304.359999999</c:v>
                </c:pt>
                <c:pt idx="11">
                  <c:v>13263704.359999999</c:v>
                </c:pt>
                <c:pt idx="12">
                  <c:v>7466282.1799999997</c:v>
                </c:pt>
                <c:pt idx="13">
                  <c:v>1668860</c:v>
                </c:pt>
                <c:pt idx="14">
                  <c:v>1668860</c:v>
                </c:pt>
                <c:pt idx="15">
                  <c:v>1668860</c:v>
                </c:pt>
                <c:pt idx="16">
                  <c:v>1668860</c:v>
                </c:pt>
                <c:pt idx="17">
                  <c:v>1668860</c:v>
                </c:pt>
                <c:pt idx="18">
                  <c:v>1668860</c:v>
                </c:pt>
                <c:pt idx="19">
                  <c:v>1668860</c:v>
                </c:pt>
                <c:pt idx="20">
                  <c:v>1668860</c:v>
                </c:pt>
                <c:pt idx="21">
                  <c:v>1540940</c:v>
                </c:pt>
              </c:numCache>
            </c:numRef>
          </c:val>
          <c:extLst>
            <c:ext xmlns:c16="http://schemas.microsoft.com/office/drawing/2014/chart" uri="{C3380CC4-5D6E-409C-BE32-E72D297353CC}">
              <c16:uniqueId val="{00000000-E95A-4007-A9F9-1396B97C3E30}"/>
            </c:ext>
          </c:extLst>
        </c:ser>
        <c:ser>
          <c:idx val="1"/>
          <c:order val="1"/>
          <c:tx>
            <c:strRef>
              <c:f>Sheet1!$M$66</c:f>
              <c:strCache>
                <c:ptCount val="1"/>
                <c:pt idx="0">
                  <c:v>income</c:v>
                </c:pt>
              </c:strCache>
            </c:strRef>
          </c:tx>
          <c:spPr>
            <a:solidFill>
              <a:schemeClr val="accent2"/>
            </a:solidFill>
            <a:ln>
              <a:noFill/>
            </a:ln>
            <a:effectLst/>
          </c:spPr>
          <c:invertIfNegative val="0"/>
          <c:cat>
            <c:numRef>
              <c:f>Sheet1!$A$67:$A$88</c:f>
              <c:numCache>
                <c:formatCode>General</c:formatCode>
                <c:ptCount val="22"/>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numCache>
            </c:numRef>
          </c:cat>
          <c:val>
            <c:numRef>
              <c:f>Sheet1!$M$67:$M$88</c:f>
              <c:numCache>
                <c:formatCode>"$"#,##0.00</c:formatCode>
                <c:ptCount val="22"/>
                <c:pt idx="0">
                  <c:v>0</c:v>
                </c:pt>
                <c:pt idx="1">
                  <c:v>0</c:v>
                </c:pt>
                <c:pt idx="2">
                  <c:v>105754.28589912022</c:v>
                </c:pt>
                <c:pt idx="3">
                  <c:v>1586314.2884868032</c:v>
                </c:pt>
                <c:pt idx="4">
                  <c:v>2712597.4333124333</c:v>
                </c:pt>
                <c:pt idx="5">
                  <c:v>3722286.4779342832</c:v>
                </c:pt>
                <c:pt idx="6">
                  <c:v>4624225.1245106673</c:v>
                </c:pt>
                <c:pt idx="7">
                  <c:v>5426664.1902345764</c:v>
                </c:pt>
                <c:pt idx="8">
                  <c:v>6137298.7865748191</c:v>
                </c:pt>
                <c:pt idx="9">
                  <c:v>6763303.2628054498</c:v>
                </c:pt>
                <c:pt idx="10">
                  <c:v>7311364.044446581</c:v>
                </c:pt>
                <c:pt idx="11">
                  <c:v>7787710.4897665856</c:v>
                </c:pt>
                <c:pt idx="12">
                  <c:v>7398324.9652782567</c:v>
                </c:pt>
                <c:pt idx="13">
                  <c:v>7028408.7170143425</c:v>
                </c:pt>
                <c:pt idx="14">
                  <c:v>6676988.2811636254</c:v>
                </c:pt>
                <c:pt idx="15">
                  <c:v>6343138.867105443</c:v>
                </c:pt>
                <c:pt idx="16">
                  <c:v>6025981.9237501714</c:v>
                </c:pt>
                <c:pt idx="17">
                  <c:v>5724682.8275626628</c:v>
                </c:pt>
                <c:pt idx="18">
                  <c:v>5438448.6861845292</c:v>
                </c:pt>
                <c:pt idx="19">
                  <c:v>5166526.2518753028</c:v>
                </c:pt>
                <c:pt idx="20">
                  <c:v>4908199.9392815372</c:v>
                </c:pt>
                <c:pt idx="21">
                  <c:v>4662789.9423174607</c:v>
                </c:pt>
              </c:numCache>
            </c:numRef>
          </c:val>
          <c:extLst>
            <c:ext xmlns:c16="http://schemas.microsoft.com/office/drawing/2014/chart" uri="{C3380CC4-5D6E-409C-BE32-E72D297353CC}">
              <c16:uniqueId val="{00000001-E95A-4007-A9F9-1396B97C3E30}"/>
            </c:ext>
          </c:extLst>
        </c:ser>
        <c:ser>
          <c:idx val="2"/>
          <c:order val="2"/>
          <c:tx>
            <c:v>Net Profit</c:v>
          </c:tx>
          <c:spPr>
            <a:solidFill>
              <a:schemeClr val="accent3"/>
            </a:solidFill>
            <a:ln>
              <a:noFill/>
            </a:ln>
            <a:effectLst/>
          </c:spPr>
          <c:invertIfNegative val="0"/>
          <c:val>
            <c:numRef>
              <c:f>Sheet1!$I$67:$I$88</c:f>
              <c:numCache>
                <c:formatCode>"$"#,##0.00</c:formatCode>
                <c:ptCount val="22"/>
                <c:pt idx="0">
                  <c:v>-383899.2</c:v>
                </c:pt>
                <c:pt idx="1">
                  <c:v>-991302.36</c:v>
                </c:pt>
                <c:pt idx="2">
                  <c:v>-4307206.6707675457</c:v>
                </c:pt>
                <c:pt idx="3">
                  <c:v>-11840486.071513196</c:v>
                </c:pt>
                <c:pt idx="4">
                  <c:v>-11494746.926687567</c:v>
                </c:pt>
                <c:pt idx="5">
                  <c:v>-10612657.882065717</c:v>
                </c:pt>
                <c:pt idx="6">
                  <c:v>-8525679.2354893312</c:v>
                </c:pt>
                <c:pt idx="7">
                  <c:v>-7324200.1697654231</c:v>
                </c:pt>
                <c:pt idx="8">
                  <c:v>-6718765.5734251803</c:v>
                </c:pt>
                <c:pt idx="9">
                  <c:v>-6227601.0971945496</c:v>
                </c:pt>
                <c:pt idx="10">
                  <c:v>-5815940.3155534184</c:v>
                </c:pt>
                <c:pt idx="11">
                  <c:v>-5475993.8702334138</c:v>
                </c:pt>
                <c:pt idx="12">
                  <c:v>-67957.214721743017</c:v>
                </c:pt>
                <c:pt idx="13">
                  <c:v>5359548.7170143425</c:v>
                </c:pt>
                <c:pt idx="14">
                  <c:v>5008128.2811636254</c:v>
                </c:pt>
                <c:pt idx="15">
                  <c:v>4674278.867105443</c:v>
                </c:pt>
                <c:pt idx="16">
                  <c:v>4357121.9237501714</c:v>
                </c:pt>
                <c:pt idx="17">
                  <c:v>4055822.8275626628</c:v>
                </c:pt>
                <c:pt idx="18">
                  <c:v>3769588.6861845292</c:v>
                </c:pt>
                <c:pt idx="19">
                  <c:v>3497666.2518753028</c:v>
                </c:pt>
                <c:pt idx="20">
                  <c:v>3239339.9392815372</c:v>
                </c:pt>
                <c:pt idx="21">
                  <c:v>3121849.9423174607</c:v>
                </c:pt>
              </c:numCache>
            </c:numRef>
          </c:val>
          <c:extLst>
            <c:ext xmlns:c16="http://schemas.microsoft.com/office/drawing/2014/chart" uri="{C3380CC4-5D6E-409C-BE32-E72D297353CC}">
              <c16:uniqueId val="{00000002-E95A-4007-A9F9-1396B97C3E30}"/>
            </c:ext>
          </c:extLst>
        </c:ser>
        <c:dLbls>
          <c:showLegendKey val="0"/>
          <c:showVal val="0"/>
          <c:showCatName val="0"/>
          <c:showSerName val="0"/>
          <c:showPercent val="0"/>
          <c:showBubbleSize val="0"/>
        </c:dLbls>
        <c:gapWidth val="219"/>
        <c:overlap val="-27"/>
        <c:axId val="332767608"/>
        <c:axId val="332768000"/>
      </c:barChart>
      <c:catAx>
        <c:axId val="33276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768000"/>
        <c:crosses val="autoZero"/>
        <c:auto val="1"/>
        <c:lblAlgn val="ctr"/>
        <c:lblOffset val="100"/>
        <c:noMultiLvlLbl val="0"/>
      </c:catAx>
      <c:valAx>
        <c:axId val="332768000"/>
        <c:scaling>
          <c:orientation val="minMax"/>
          <c:min val="-20000000"/>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767608"/>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7CF7D4-232E-470D-828B-3C16C328F3B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NZ"/>
        </a:p>
      </dgm:t>
    </dgm:pt>
    <dgm:pt modelId="{619A2E1C-04C5-4F3B-8B3C-5387D5905543}">
      <dgm:prSet phldrT="[Text]"/>
      <dgm:spPr/>
      <dgm:t>
        <a:bodyPr/>
        <a:lstStyle/>
        <a:p>
          <a:pPr algn="ctr"/>
          <a:r>
            <a:rPr lang="en-NZ"/>
            <a:t>Competitive advantage</a:t>
          </a:r>
        </a:p>
      </dgm:t>
    </dgm:pt>
    <dgm:pt modelId="{AD5A7A39-809A-463A-9A06-5A23B6E0AFC4}" type="parTrans" cxnId="{9551D296-1219-4270-BA6D-BE539A4A5192}">
      <dgm:prSet/>
      <dgm:spPr/>
      <dgm:t>
        <a:bodyPr/>
        <a:lstStyle/>
        <a:p>
          <a:pPr algn="ctr"/>
          <a:endParaRPr lang="en-NZ"/>
        </a:p>
      </dgm:t>
    </dgm:pt>
    <dgm:pt modelId="{14C8A328-BEDB-4C47-88FC-5F06422C60D7}" type="sibTrans" cxnId="{9551D296-1219-4270-BA6D-BE539A4A5192}">
      <dgm:prSet/>
      <dgm:spPr/>
      <dgm:t>
        <a:bodyPr/>
        <a:lstStyle/>
        <a:p>
          <a:pPr algn="ctr"/>
          <a:endParaRPr lang="en-NZ"/>
        </a:p>
      </dgm:t>
    </dgm:pt>
    <dgm:pt modelId="{CA66B4A5-B6F9-41F7-A71B-AF5697B779FB}">
      <dgm:prSet phldrT="[Text]"/>
      <dgm:spPr/>
      <dgm:t>
        <a:bodyPr/>
        <a:lstStyle/>
        <a:p>
          <a:pPr algn="ctr"/>
          <a:r>
            <a:rPr lang="en-NZ"/>
            <a:t>Rare</a:t>
          </a:r>
        </a:p>
      </dgm:t>
    </dgm:pt>
    <dgm:pt modelId="{F3664E34-FEB3-41D2-937D-1BDB6B5D81CB}" type="parTrans" cxnId="{90D3878A-007F-4288-933E-CF717FDF14FF}">
      <dgm:prSet/>
      <dgm:spPr/>
      <dgm:t>
        <a:bodyPr/>
        <a:lstStyle/>
        <a:p>
          <a:pPr algn="ctr"/>
          <a:endParaRPr lang="en-NZ"/>
        </a:p>
      </dgm:t>
    </dgm:pt>
    <dgm:pt modelId="{929B4703-768A-443E-B9CA-B3EB29C7840F}" type="sibTrans" cxnId="{90D3878A-007F-4288-933E-CF717FDF14FF}">
      <dgm:prSet/>
      <dgm:spPr/>
      <dgm:t>
        <a:bodyPr/>
        <a:lstStyle/>
        <a:p>
          <a:pPr algn="ctr"/>
          <a:endParaRPr lang="en-NZ"/>
        </a:p>
      </dgm:t>
    </dgm:pt>
    <dgm:pt modelId="{3131A22B-1F24-4F77-81B7-1BE9CD351387}">
      <dgm:prSet phldrT="[Text]"/>
      <dgm:spPr/>
      <dgm:t>
        <a:bodyPr/>
        <a:lstStyle/>
        <a:p>
          <a:pPr algn="ctr"/>
          <a:r>
            <a:rPr lang="en-NZ"/>
            <a:t>Inimitable</a:t>
          </a:r>
        </a:p>
      </dgm:t>
    </dgm:pt>
    <dgm:pt modelId="{20EB1B42-74B5-4877-B2DA-26422CECC666}" type="parTrans" cxnId="{0C306CE2-DDB1-4649-9DE1-764538904049}">
      <dgm:prSet/>
      <dgm:spPr/>
      <dgm:t>
        <a:bodyPr/>
        <a:lstStyle/>
        <a:p>
          <a:pPr algn="ctr"/>
          <a:endParaRPr lang="en-NZ"/>
        </a:p>
      </dgm:t>
    </dgm:pt>
    <dgm:pt modelId="{E37EFD82-96EC-474A-A695-BA92D0312DF9}" type="sibTrans" cxnId="{0C306CE2-DDB1-4649-9DE1-764538904049}">
      <dgm:prSet/>
      <dgm:spPr/>
      <dgm:t>
        <a:bodyPr/>
        <a:lstStyle/>
        <a:p>
          <a:pPr algn="ctr"/>
          <a:endParaRPr lang="en-NZ"/>
        </a:p>
      </dgm:t>
    </dgm:pt>
    <dgm:pt modelId="{2C58DD6B-ED62-43E3-B780-3812F22A5A0C}">
      <dgm:prSet phldrT="[Text]"/>
      <dgm:spPr/>
      <dgm:t>
        <a:bodyPr/>
        <a:lstStyle/>
        <a:p>
          <a:pPr algn="ctr"/>
          <a:r>
            <a:rPr lang="en-NZ"/>
            <a:t>Valuable</a:t>
          </a:r>
        </a:p>
      </dgm:t>
    </dgm:pt>
    <dgm:pt modelId="{1926D5EF-4D6E-41D9-A077-C0C7E08B676E}" type="parTrans" cxnId="{D0EF0D70-BDC7-4443-8CC3-AE46B1EBDD83}">
      <dgm:prSet/>
      <dgm:spPr/>
      <dgm:t>
        <a:bodyPr/>
        <a:lstStyle/>
        <a:p>
          <a:pPr algn="ctr"/>
          <a:endParaRPr lang="en-NZ"/>
        </a:p>
      </dgm:t>
    </dgm:pt>
    <dgm:pt modelId="{FA63AB9E-790C-4D9E-99BF-D1C8FF2132C7}" type="sibTrans" cxnId="{D0EF0D70-BDC7-4443-8CC3-AE46B1EBDD83}">
      <dgm:prSet/>
      <dgm:spPr/>
      <dgm:t>
        <a:bodyPr/>
        <a:lstStyle/>
        <a:p>
          <a:pPr algn="ctr"/>
          <a:endParaRPr lang="en-NZ"/>
        </a:p>
      </dgm:t>
    </dgm:pt>
    <dgm:pt modelId="{0F65C7B5-D511-4D65-A6FC-AE77F7325E51}" type="pres">
      <dgm:prSet presAssocID="{7B7CF7D4-232E-470D-828B-3C16C328F3B4}" presName="hierChild1" presStyleCnt="0">
        <dgm:presLayoutVars>
          <dgm:orgChart val="1"/>
          <dgm:chPref val="1"/>
          <dgm:dir/>
          <dgm:animOne val="branch"/>
          <dgm:animLvl val="lvl"/>
          <dgm:resizeHandles/>
        </dgm:presLayoutVars>
      </dgm:prSet>
      <dgm:spPr/>
    </dgm:pt>
    <dgm:pt modelId="{D9C60A62-3D5F-4D8A-9487-EF3F50E9FF26}" type="pres">
      <dgm:prSet presAssocID="{619A2E1C-04C5-4F3B-8B3C-5387D5905543}" presName="hierRoot1" presStyleCnt="0">
        <dgm:presLayoutVars>
          <dgm:hierBranch val="init"/>
        </dgm:presLayoutVars>
      </dgm:prSet>
      <dgm:spPr/>
    </dgm:pt>
    <dgm:pt modelId="{8295E1FD-AEFF-4763-876A-F2114F2168D2}" type="pres">
      <dgm:prSet presAssocID="{619A2E1C-04C5-4F3B-8B3C-5387D5905543}" presName="rootComposite1" presStyleCnt="0"/>
      <dgm:spPr/>
    </dgm:pt>
    <dgm:pt modelId="{16156622-8BFA-4EE5-9601-5DD10EDDA95D}" type="pres">
      <dgm:prSet presAssocID="{619A2E1C-04C5-4F3B-8B3C-5387D5905543}" presName="rootText1" presStyleLbl="node0" presStyleIdx="0" presStyleCnt="1">
        <dgm:presLayoutVars>
          <dgm:chPref val="3"/>
        </dgm:presLayoutVars>
      </dgm:prSet>
      <dgm:spPr/>
    </dgm:pt>
    <dgm:pt modelId="{61638F23-121B-41D2-A750-9616A2E7F612}" type="pres">
      <dgm:prSet presAssocID="{619A2E1C-04C5-4F3B-8B3C-5387D5905543}" presName="rootConnector1" presStyleLbl="node1" presStyleIdx="0" presStyleCnt="0"/>
      <dgm:spPr/>
    </dgm:pt>
    <dgm:pt modelId="{47A47AE3-3B91-429E-8799-30AAD4C70A9B}" type="pres">
      <dgm:prSet presAssocID="{619A2E1C-04C5-4F3B-8B3C-5387D5905543}" presName="hierChild2" presStyleCnt="0"/>
      <dgm:spPr/>
    </dgm:pt>
    <dgm:pt modelId="{162E1151-EFEB-4EFC-93E5-41ED5ABA4A0D}" type="pres">
      <dgm:prSet presAssocID="{F3664E34-FEB3-41D2-937D-1BDB6B5D81CB}" presName="Name37" presStyleLbl="parChTrans1D2" presStyleIdx="0" presStyleCnt="3"/>
      <dgm:spPr/>
    </dgm:pt>
    <dgm:pt modelId="{777AC027-C266-466A-A626-77AF0E9C6AA5}" type="pres">
      <dgm:prSet presAssocID="{CA66B4A5-B6F9-41F7-A71B-AF5697B779FB}" presName="hierRoot2" presStyleCnt="0">
        <dgm:presLayoutVars>
          <dgm:hierBranch val="init"/>
        </dgm:presLayoutVars>
      </dgm:prSet>
      <dgm:spPr/>
    </dgm:pt>
    <dgm:pt modelId="{E1941098-D579-40A4-A08B-138EBC366EEB}" type="pres">
      <dgm:prSet presAssocID="{CA66B4A5-B6F9-41F7-A71B-AF5697B779FB}" presName="rootComposite" presStyleCnt="0"/>
      <dgm:spPr/>
    </dgm:pt>
    <dgm:pt modelId="{B3DC1733-8DCA-4857-960D-27873277EB19}" type="pres">
      <dgm:prSet presAssocID="{CA66B4A5-B6F9-41F7-A71B-AF5697B779FB}" presName="rootText" presStyleLbl="node2" presStyleIdx="0" presStyleCnt="3">
        <dgm:presLayoutVars>
          <dgm:chPref val="3"/>
        </dgm:presLayoutVars>
      </dgm:prSet>
      <dgm:spPr/>
    </dgm:pt>
    <dgm:pt modelId="{D5FA37F1-544D-4099-AD42-1B8B62E6215D}" type="pres">
      <dgm:prSet presAssocID="{CA66B4A5-B6F9-41F7-A71B-AF5697B779FB}" presName="rootConnector" presStyleLbl="node2" presStyleIdx="0" presStyleCnt="3"/>
      <dgm:spPr/>
    </dgm:pt>
    <dgm:pt modelId="{CCD2F6B8-A3C4-4016-9DB5-32D10C6C736D}" type="pres">
      <dgm:prSet presAssocID="{CA66B4A5-B6F9-41F7-A71B-AF5697B779FB}" presName="hierChild4" presStyleCnt="0"/>
      <dgm:spPr/>
    </dgm:pt>
    <dgm:pt modelId="{4E97CD41-CFD0-4AD8-954B-4AE64E63D59F}" type="pres">
      <dgm:prSet presAssocID="{CA66B4A5-B6F9-41F7-A71B-AF5697B779FB}" presName="hierChild5" presStyleCnt="0"/>
      <dgm:spPr/>
    </dgm:pt>
    <dgm:pt modelId="{EC8A8E1B-D3AE-4AD4-91EB-FC4460E334DD}" type="pres">
      <dgm:prSet presAssocID="{20EB1B42-74B5-4877-B2DA-26422CECC666}" presName="Name37" presStyleLbl="parChTrans1D2" presStyleIdx="1" presStyleCnt="3"/>
      <dgm:spPr/>
    </dgm:pt>
    <dgm:pt modelId="{3DDDFC2C-5722-45F3-86A6-C627A881B242}" type="pres">
      <dgm:prSet presAssocID="{3131A22B-1F24-4F77-81B7-1BE9CD351387}" presName="hierRoot2" presStyleCnt="0">
        <dgm:presLayoutVars>
          <dgm:hierBranch val="init"/>
        </dgm:presLayoutVars>
      </dgm:prSet>
      <dgm:spPr/>
    </dgm:pt>
    <dgm:pt modelId="{0D114E9E-EA0A-4EF6-B1F8-EC3DCFEA37ED}" type="pres">
      <dgm:prSet presAssocID="{3131A22B-1F24-4F77-81B7-1BE9CD351387}" presName="rootComposite" presStyleCnt="0"/>
      <dgm:spPr/>
    </dgm:pt>
    <dgm:pt modelId="{7CD4FD82-2D7F-4E2D-B3EC-8E01AFDCD81C}" type="pres">
      <dgm:prSet presAssocID="{3131A22B-1F24-4F77-81B7-1BE9CD351387}" presName="rootText" presStyleLbl="node2" presStyleIdx="1" presStyleCnt="3">
        <dgm:presLayoutVars>
          <dgm:chPref val="3"/>
        </dgm:presLayoutVars>
      </dgm:prSet>
      <dgm:spPr/>
    </dgm:pt>
    <dgm:pt modelId="{3A8ABAD4-178C-41A9-A11E-B46DE5ED32FC}" type="pres">
      <dgm:prSet presAssocID="{3131A22B-1F24-4F77-81B7-1BE9CD351387}" presName="rootConnector" presStyleLbl="node2" presStyleIdx="1" presStyleCnt="3"/>
      <dgm:spPr/>
    </dgm:pt>
    <dgm:pt modelId="{0CE417C2-99AE-44A5-9C3E-16ED5C9E54B1}" type="pres">
      <dgm:prSet presAssocID="{3131A22B-1F24-4F77-81B7-1BE9CD351387}" presName="hierChild4" presStyleCnt="0"/>
      <dgm:spPr/>
    </dgm:pt>
    <dgm:pt modelId="{37F8B65C-B14C-4865-A0EB-A59003AAC9B4}" type="pres">
      <dgm:prSet presAssocID="{3131A22B-1F24-4F77-81B7-1BE9CD351387}" presName="hierChild5" presStyleCnt="0"/>
      <dgm:spPr/>
    </dgm:pt>
    <dgm:pt modelId="{36E5F610-FD39-4A61-ABE9-9ED5EA553008}" type="pres">
      <dgm:prSet presAssocID="{1926D5EF-4D6E-41D9-A077-C0C7E08B676E}" presName="Name37" presStyleLbl="parChTrans1D2" presStyleIdx="2" presStyleCnt="3"/>
      <dgm:spPr/>
    </dgm:pt>
    <dgm:pt modelId="{30F2F266-CAEC-4052-9E65-4E81205F4B94}" type="pres">
      <dgm:prSet presAssocID="{2C58DD6B-ED62-43E3-B780-3812F22A5A0C}" presName="hierRoot2" presStyleCnt="0">
        <dgm:presLayoutVars>
          <dgm:hierBranch val="init"/>
        </dgm:presLayoutVars>
      </dgm:prSet>
      <dgm:spPr/>
    </dgm:pt>
    <dgm:pt modelId="{30CBFC42-45FD-4264-BC1D-044094FED7CB}" type="pres">
      <dgm:prSet presAssocID="{2C58DD6B-ED62-43E3-B780-3812F22A5A0C}" presName="rootComposite" presStyleCnt="0"/>
      <dgm:spPr/>
    </dgm:pt>
    <dgm:pt modelId="{F8712E3E-9CC5-462D-94AC-0BCD3432911F}" type="pres">
      <dgm:prSet presAssocID="{2C58DD6B-ED62-43E3-B780-3812F22A5A0C}" presName="rootText" presStyleLbl="node2" presStyleIdx="2" presStyleCnt="3">
        <dgm:presLayoutVars>
          <dgm:chPref val="3"/>
        </dgm:presLayoutVars>
      </dgm:prSet>
      <dgm:spPr/>
    </dgm:pt>
    <dgm:pt modelId="{539778AE-33EB-40F4-974A-CB90531FBFA7}" type="pres">
      <dgm:prSet presAssocID="{2C58DD6B-ED62-43E3-B780-3812F22A5A0C}" presName="rootConnector" presStyleLbl="node2" presStyleIdx="2" presStyleCnt="3"/>
      <dgm:spPr/>
    </dgm:pt>
    <dgm:pt modelId="{8ACE088E-AC30-44E7-9166-3D301E1F3606}" type="pres">
      <dgm:prSet presAssocID="{2C58DD6B-ED62-43E3-B780-3812F22A5A0C}" presName="hierChild4" presStyleCnt="0"/>
      <dgm:spPr/>
    </dgm:pt>
    <dgm:pt modelId="{6B988598-8AE0-49E2-9173-234743500A42}" type="pres">
      <dgm:prSet presAssocID="{2C58DD6B-ED62-43E3-B780-3812F22A5A0C}" presName="hierChild5" presStyleCnt="0"/>
      <dgm:spPr/>
    </dgm:pt>
    <dgm:pt modelId="{410F14EF-4258-43E6-8DBE-886B3186D20D}" type="pres">
      <dgm:prSet presAssocID="{619A2E1C-04C5-4F3B-8B3C-5387D5905543}" presName="hierChild3" presStyleCnt="0"/>
      <dgm:spPr/>
    </dgm:pt>
  </dgm:ptLst>
  <dgm:cxnLst>
    <dgm:cxn modelId="{34021A32-A0D4-43CA-856E-636C49EBACEB}" type="presOf" srcId="{20EB1B42-74B5-4877-B2DA-26422CECC666}" destId="{EC8A8E1B-D3AE-4AD4-91EB-FC4460E334DD}" srcOrd="0" destOrd="0" presId="urn:microsoft.com/office/officeart/2005/8/layout/orgChart1"/>
    <dgm:cxn modelId="{53D23F3A-5505-4C47-941A-C8D85663D34F}" type="presOf" srcId="{3131A22B-1F24-4F77-81B7-1BE9CD351387}" destId="{3A8ABAD4-178C-41A9-A11E-B46DE5ED32FC}" srcOrd="1" destOrd="0" presId="urn:microsoft.com/office/officeart/2005/8/layout/orgChart1"/>
    <dgm:cxn modelId="{9A57B864-CC59-48FD-8C4F-E71C8FE625D1}" type="presOf" srcId="{CA66B4A5-B6F9-41F7-A71B-AF5697B779FB}" destId="{B3DC1733-8DCA-4857-960D-27873277EB19}" srcOrd="0" destOrd="0" presId="urn:microsoft.com/office/officeart/2005/8/layout/orgChart1"/>
    <dgm:cxn modelId="{D0EF0D70-BDC7-4443-8CC3-AE46B1EBDD83}" srcId="{619A2E1C-04C5-4F3B-8B3C-5387D5905543}" destId="{2C58DD6B-ED62-43E3-B780-3812F22A5A0C}" srcOrd="2" destOrd="0" parTransId="{1926D5EF-4D6E-41D9-A077-C0C7E08B676E}" sibTransId="{FA63AB9E-790C-4D9E-99BF-D1C8FF2132C7}"/>
    <dgm:cxn modelId="{CBEDC970-71D8-4602-B213-A0FF2B1B5085}" type="presOf" srcId="{2C58DD6B-ED62-43E3-B780-3812F22A5A0C}" destId="{F8712E3E-9CC5-462D-94AC-0BCD3432911F}" srcOrd="0" destOrd="0" presId="urn:microsoft.com/office/officeart/2005/8/layout/orgChart1"/>
    <dgm:cxn modelId="{90D3878A-007F-4288-933E-CF717FDF14FF}" srcId="{619A2E1C-04C5-4F3B-8B3C-5387D5905543}" destId="{CA66B4A5-B6F9-41F7-A71B-AF5697B779FB}" srcOrd="0" destOrd="0" parTransId="{F3664E34-FEB3-41D2-937D-1BDB6B5D81CB}" sibTransId="{929B4703-768A-443E-B9CA-B3EB29C7840F}"/>
    <dgm:cxn modelId="{5C4E638B-E5C0-4957-9556-C58E51A49965}" type="presOf" srcId="{619A2E1C-04C5-4F3B-8B3C-5387D5905543}" destId="{16156622-8BFA-4EE5-9601-5DD10EDDA95D}" srcOrd="0" destOrd="0" presId="urn:microsoft.com/office/officeart/2005/8/layout/orgChart1"/>
    <dgm:cxn modelId="{9551D296-1219-4270-BA6D-BE539A4A5192}" srcId="{7B7CF7D4-232E-470D-828B-3C16C328F3B4}" destId="{619A2E1C-04C5-4F3B-8B3C-5387D5905543}" srcOrd="0" destOrd="0" parTransId="{AD5A7A39-809A-463A-9A06-5A23B6E0AFC4}" sibTransId="{14C8A328-BEDB-4C47-88FC-5F06422C60D7}"/>
    <dgm:cxn modelId="{A2FD46A1-47C4-4470-B599-D8919F2DFC59}" type="presOf" srcId="{2C58DD6B-ED62-43E3-B780-3812F22A5A0C}" destId="{539778AE-33EB-40F4-974A-CB90531FBFA7}" srcOrd="1" destOrd="0" presId="urn:microsoft.com/office/officeart/2005/8/layout/orgChart1"/>
    <dgm:cxn modelId="{BE808AA1-E566-4BE1-8B46-160678F9A8D9}" type="presOf" srcId="{7B7CF7D4-232E-470D-828B-3C16C328F3B4}" destId="{0F65C7B5-D511-4D65-A6FC-AE77F7325E51}" srcOrd="0" destOrd="0" presId="urn:microsoft.com/office/officeart/2005/8/layout/orgChart1"/>
    <dgm:cxn modelId="{2794B0A2-7A14-404D-B212-6AC4FDE8C8E5}" type="presOf" srcId="{619A2E1C-04C5-4F3B-8B3C-5387D5905543}" destId="{61638F23-121B-41D2-A750-9616A2E7F612}" srcOrd="1" destOrd="0" presId="urn:microsoft.com/office/officeart/2005/8/layout/orgChart1"/>
    <dgm:cxn modelId="{A5B32FA7-ADEE-4262-AC21-9467D1EDEA4C}" type="presOf" srcId="{1926D5EF-4D6E-41D9-A077-C0C7E08B676E}" destId="{36E5F610-FD39-4A61-ABE9-9ED5EA553008}" srcOrd="0" destOrd="0" presId="urn:microsoft.com/office/officeart/2005/8/layout/orgChart1"/>
    <dgm:cxn modelId="{3FC25AD4-CB69-4B25-8BC9-B633FFAA1F9F}" type="presOf" srcId="{CA66B4A5-B6F9-41F7-A71B-AF5697B779FB}" destId="{D5FA37F1-544D-4099-AD42-1B8B62E6215D}" srcOrd="1" destOrd="0" presId="urn:microsoft.com/office/officeart/2005/8/layout/orgChart1"/>
    <dgm:cxn modelId="{CEFFD8E1-E18E-4A1E-89D6-A920E46C78DD}" type="presOf" srcId="{3131A22B-1F24-4F77-81B7-1BE9CD351387}" destId="{7CD4FD82-2D7F-4E2D-B3EC-8E01AFDCD81C}" srcOrd="0" destOrd="0" presId="urn:microsoft.com/office/officeart/2005/8/layout/orgChart1"/>
    <dgm:cxn modelId="{0C306CE2-DDB1-4649-9DE1-764538904049}" srcId="{619A2E1C-04C5-4F3B-8B3C-5387D5905543}" destId="{3131A22B-1F24-4F77-81B7-1BE9CD351387}" srcOrd="1" destOrd="0" parTransId="{20EB1B42-74B5-4877-B2DA-26422CECC666}" sibTransId="{E37EFD82-96EC-474A-A695-BA92D0312DF9}"/>
    <dgm:cxn modelId="{46C402F1-7DD1-4BF7-B947-C22104E94737}" type="presOf" srcId="{F3664E34-FEB3-41D2-937D-1BDB6B5D81CB}" destId="{162E1151-EFEB-4EFC-93E5-41ED5ABA4A0D}" srcOrd="0" destOrd="0" presId="urn:microsoft.com/office/officeart/2005/8/layout/orgChart1"/>
    <dgm:cxn modelId="{BABBD50C-1959-444B-A8B8-982927118C05}" type="presParOf" srcId="{0F65C7B5-D511-4D65-A6FC-AE77F7325E51}" destId="{D9C60A62-3D5F-4D8A-9487-EF3F50E9FF26}" srcOrd="0" destOrd="0" presId="urn:microsoft.com/office/officeart/2005/8/layout/orgChart1"/>
    <dgm:cxn modelId="{7FDD9EF1-C43A-4F88-A87F-AB216A98C94B}" type="presParOf" srcId="{D9C60A62-3D5F-4D8A-9487-EF3F50E9FF26}" destId="{8295E1FD-AEFF-4763-876A-F2114F2168D2}" srcOrd="0" destOrd="0" presId="urn:microsoft.com/office/officeart/2005/8/layout/orgChart1"/>
    <dgm:cxn modelId="{101773F6-CCFB-49E5-99C5-2F44738611F0}" type="presParOf" srcId="{8295E1FD-AEFF-4763-876A-F2114F2168D2}" destId="{16156622-8BFA-4EE5-9601-5DD10EDDA95D}" srcOrd="0" destOrd="0" presId="urn:microsoft.com/office/officeart/2005/8/layout/orgChart1"/>
    <dgm:cxn modelId="{868286EF-DC6E-42C5-867E-95FBF4D0DB31}" type="presParOf" srcId="{8295E1FD-AEFF-4763-876A-F2114F2168D2}" destId="{61638F23-121B-41D2-A750-9616A2E7F612}" srcOrd="1" destOrd="0" presId="urn:microsoft.com/office/officeart/2005/8/layout/orgChart1"/>
    <dgm:cxn modelId="{ED8C9E04-68D5-4771-8323-00B9F71EBB6C}" type="presParOf" srcId="{D9C60A62-3D5F-4D8A-9487-EF3F50E9FF26}" destId="{47A47AE3-3B91-429E-8799-30AAD4C70A9B}" srcOrd="1" destOrd="0" presId="urn:microsoft.com/office/officeart/2005/8/layout/orgChart1"/>
    <dgm:cxn modelId="{37EC061C-B146-4CA2-B302-AA87A06BCCFD}" type="presParOf" srcId="{47A47AE3-3B91-429E-8799-30AAD4C70A9B}" destId="{162E1151-EFEB-4EFC-93E5-41ED5ABA4A0D}" srcOrd="0" destOrd="0" presId="urn:microsoft.com/office/officeart/2005/8/layout/orgChart1"/>
    <dgm:cxn modelId="{EA106413-CDF6-4DF8-98C1-B6DECB033FB9}" type="presParOf" srcId="{47A47AE3-3B91-429E-8799-30AAD4C70A9B}" destId="{777AC027-C266-466A-A626-77AF0E9C6AA5}" srcOrd="1" destOrd="0" presId="urn:microsoft.com/office/officeart/2005/8/layout/orgChart1"/>
    <dgm:cxn modelId="{3D6CBA6A-114E-4EBC-843E-530EFF476771}" type="presParOf" srcId="{777AC027-C266-466A-A626-77AF0E9C6AA5}" destId="{E1941098-D579-40A4-A08B-138EBC366EEB}" srcOrd="0" destOrd="0" presId="urn:microsoft.com/office/officeart/2005/8/layout/orgChart1"/>
    <dgm:cxn modelId="{83847FE6-7CBA-4AFE-892D-44199C4C7939}" type="presParOf" srcId="{E1941098-D579-40A4-A08B-138EBC366EEB}" destId="{B3DC1733-8DCA-4857-960D-27873277EB19}" srcOrd="0" destOrd="0" presId="urn:microsoft.com/office/officeart/2005/8/layout/orgChart1"/>
    <dgm:cxn modelId="{599D4C70-F6D7-42EC-A7D2-27D165E6CCDD}" type="presParOf" srcId="{E1941098-D579-40A4-A08B-138EBC366EEB}" destId="{D5FA37F1-544D-4099-AD42-1B8B62E6215D}" srcOrd="1" destOrd="0" presId="urn:microsoft.com/office/officeart/2005/8/layout/orgChart1"/>
    <dgm:cxn modelId="{105514C1-17E4-4D34-B514-708F13432F63}" type="presParOf" srcId="{777AC027-C266-466A-A626-77AF0E9C6AA5}" destId="{CCD2F6B8-A3C4-4016-9DB5-32D10C6C736D}" srcOrd="1" destOrd="0" presId="urn:microsoft.com/office/officeart/2005/8/layout/orgChart1"/>
    <dgm:cxn modelId="{B23D8F93-4C72-410B-949D-2457CF5BC335}" type="presParOf" srcId="{777AC027-C266-466A-A626-77AF0E9C6AA5}" destId="{4E97CD41-CFD0-4AD8-954B-4AE64E63D59F}" srcOrd="2" destOrd="0" presId="urn:microsoft.com/office/officeart/2005/8/layout/orgChart1"/>
    <dgm:cxn modelId="{FE512514-DC7C-4891-9811-0B4895A8A0FE}" type="presParOf" srcId="{47A47AE3-3B91-429E-8799-30AAD4C70A9B}" destId="{EC8A8E1B-D3AE-4AD4-91EB-FC4460E334DD}" srcOrd="2" destOrd="0" presId="urn:microsoft.com/office/officeart/2005/8/layout/orgChart1"/>
    <dgm:cxn modelId="{DFCC9EE6-AA95-4E95-9B15-22D55E70AAF2}" type="presParOf" srcId="{47A47AE3-3B91-429E-8799-30AAD4C70A9B}" destId="{3DDDFC2C-5722-45F3-86A6-C627A881B242}" srcOrd="3" destOrd="0" presId="urn:microsoft.com/office/officeart/2005/8/layout/orgChart1"/>
    <dgm:cxn modelId="{9E892705-73A3-4488-AAA9-F4C21480A0E2}" type="presParOf" srcId="{3DDDFC2C-5722-45F3-86A6-C627A881B242}" destId="{0D114E9E-EA0A-4EF6-B1F8-EC3DCFEA37ED}" srcOrd="0" destOrd="0" presId="urn:microsoft.com/office/officeart/2005/8/layout/orgChart1"/>
    <dgm:cxn modelId="{6F8B16B4-58B8-48BD-8CF3-36F1E7C65609}" type="presParOf" srcId="{0D114E9E-EA0A-4EF6-B1F8-EC3DCFEA37ED}" destId="{7CD4FD82-2D7F-4E2D-B3EC-8E01AFDCD81C}" srcOrd="0" destOrd="0" presId="urn:microsoft.com/office/officeart/2005/8/layout/orgChart1"/>
    <dgm:cxn modelId="{5AE72FBF-599C-414A-A09C-1A8C655DBE9B}" type="presParOf" srcId="{0D114E9E-EA0A-4EF6-B1F8-EC3DCFEA37ED}" destId="{3A8ABAD4-178C-41A9-A11E-B46DE5ED32FC}" srcOrd="1" destOrd="0" presId="urn:microsoft.com/office/officeart/2005/8/layout/orgChart1"/>
    <dgm:cxn modelId="{A8AABCF9-CCFE-4DB4-9ED1-F86C486224AE}" type="presParOf" srcId="{3DDDFC2C-5722-45F3-86A6-C627A881B242}" destId="{0CE417C2-99AE-44A5-9C3E-16ED5C9E54B1}" srcOrd="1" destOrd="0" presId="urn:microsoft.com/office/officeart/2005/8/layout/orgChart1"/>
    <dgm:cxn modelId="{3BD368E3-EB29-4177-B0D9-F5F4AFE72F93}" type="presParOf" srcId="{3DDDFC2C-5722-45F3-86A6-C627A881B242}" destId="{37F8B65C-B14C-4865-A0EB-A59003AAC9B4}" srcOrd="2" destOrd="0" presId="urn:microsoft.com/office/officeart/2005/8/layout/orgChart1"/>
    <dgm:cxn modelId="{51B745CC-140A-44BB-8B64-E8C165BFC9A6}" type="presParOf" srcId="{47A47AE3-3B91-429E-8799-30AAD4C70A9B}" destId="{36E5F610-FD39-4A61-ABE9-9ED5EA553008}" srcOrd="4" destOrd="0" presId="urn:microsoft.com/office/officeart/2005/8/layout/orgChart1"/>
    <dgm:cxn modelId="{CBA56969-3748-43E8-A1A3-94EC8B5A4C3C}" type="presParOf" srcId="{47A47AE3-3B91-429E-8799-30AAD4C70A9B}" destId="{30F2F266-CAEC-4052-9E65-4E81205F4B94}" srcOrd="5" destOrd="0" presId="urn:microsoft.com/office/officeart/2005/8/layout/orgChart1"/>
    <dgm:cxn modelId="{042FBE2C-844E-44DF-A506-82C2B128668C}" type="presParOf" srcId="{30F2F266-CAEC-4052-9E65-4E81205F4B94}" destId="{30CBFC42-45FD-4264-BC1D-044094FED7CB}" srcOrd="0" destOrd="0" presId="urn:microsoft.com/office/officeart/2005/8/layout/orgChart1"/>
    <dgm:cxn modelId="{212173E6-252A-4715-9E71-B23689221C48}" type="presParOf" srcId="{30CBFC42-45FD-4264-BC1D-044094FED7CB}" destId="{F8712E3E-9CC5-462D-94AC-0BCD3432911F}" srcOrd="0" destOrd="0" presId="urn:microsoft.com/office/officeart/2005/8/layout/orgChart1"/>
    <dgm:cxn modelId="{12EC185B-94CC-4048-A1A3-21B1A622EECB}" type="presParOf" srcId="{30CBFC42-45FD-4264-BC1D-044094FED7CB}" destId="{539778AE-33EB-40F4-974A-CB90531FBFA7}" srcOrd="1" destOrd="0" presId="urn:microsoft.com/office/officeart/2005/8/layout/orgChart1"/>
    <dgm:cxn modelId="{B52B7128-393C-496F-812B-1499E1E0F6CD}" type="presParOf" srcId="{30F2F266-CAEC-4052-9E65-4E81205F4B94}" destId="{8ACE088E-AC30-44E7-9166-3D301E1F3606}" srcOrd="1" destOrd="0" presId="urn:microsoft.com/office/officeart/2005/8/layout/orgChart1"/>
    <dgm:cxn modelId="{A706962C-1BC5-482E-94E3-35CD0A6598AC}" type="presParOf" srcId="{30F2F266-CAEC-4052-9E65-4E81205F4B94}" destId="{6B988598-8AE0-49E2-9173-234743500A42}" srcOrd="2" destOrd="0" presId="urn:microsoft.com/office/officeart/2005/8/layout/orgChart1"/>
    <dgm:cxn modelId="{C7D6619B-8499-451C-B403-E1BDA583B264}" type="presParOf" srcId="{D9C60A62-3D5F-4D8A-9487-EF3F50E9FF26}" destId="{410F14EF-4258-43E6-8DBE-886B3186D20D}"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E5F610-FD39-4A61-ABE9-9ED5EA553008}">
      <dsp:nvSpPr>
        <dsp:cNvPr id="0" name=""/>
        <dsp:cNvSpPr/>
      </dsp:nvSpPr>
      <dsp:spPr>
        <a:xfrm>
          <a:off x="2130724" y="981991"/>
          <a:ext cx="1507503" cy="261632"/>
        </a:xfrm>
        <a:custGeom>
          <a:avLst/>
          <a:gdLst/>
          <a:ahLst/>
          <a:cxnLst/>
          <a:rect l="0" t="0" r="0" b="0"/>
          <a:pathLst>
            <a:path>
              <a:moveTo>
                <a:pt x="0" y="0"/>
              </a:moveTo>
              <a:lnTo>
                <a:pt x="0" y="130816"/>
              </a:lnTo>
              <a:lnTo>
                <a:pt x="1507503" y="130816"/>
              </a:lnTo>
              <a:lnTo>
                <a:pt x="1507503" y="2616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8A8E1B-D3AE-4AD4-91EB-FC4460E334DD}">
      <dsp:nvSpPr>
        <dsp:cNvPr id="0" name=""/>
        <dsp:cNvSpPr/>
      </dsp:nvSpPr>
      <dsp:spPr>
        <a:xfrm>
          <a:off x="2085004" y="981991"/>
          <a:ext cx="91440" cy="261632"/>
        </a:xfrm>
        <a:custGeom>
          <a:avLst/>
          <a:gdLst/>
          <a:ahLst/>
          <a:cxnLst/>
          <a:rect l="0" t="0" r="0" b="0"/>
          <a:pathLst>
            <a:path>
              <a:moveTo>
                <a:pt x="45720" y="0"/>
              </a:moveTo>
              <a:lnTo>
                <a:pt x="45720" y="2616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2E1151-EFEB-4EFC-93E5-41ED5ABA4A0D}">
      <dsp:nvSpPr>
        <dsp:cNvPr id="0" name=""/>
        <dsp:cNvSpPr/>
      </dsp:nvSpPr>
      <dsp:spPr>
        <a:xfrm>
          <a:off x="623221" y="981991"/>
          <a:ext cx="1507503" cy="261632"/>
        </a:xfrm>
        <a:custGeom>
          <a:avLst/>
          <a:gdLst/>
          <a:ahLst/>
          <a:cxnLst/>
          <a:rect l="0" t="0" r="0" b="0"/>
          <a:pathLst>
            <a:path>
              <a:moveTo>
                <a:pt x="1507503" y="0"/>
              </a:moveTo>
              <a:lnTo>
                <a:pt x="1507503" y="130816"/>
              </a:lnTo>
              <a:lnTo>
                <a:pt x="0" y="130816"/>
              </a:lnTo>
              <a:lnTo>
                <a:pt x="0" y="2616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156622-8BFA-4EE5-9601-5DD10EDDA95D}">
      <dsp:nvSpPr>
        <dsp:cNvPr id="0" name=""/>
        <dsp:cNvSpPr/>
      </dsp:nvSpPr>
      <dsp:spPr>
        <a:xfrm>
          <a:off x="1507789" y="359055"/>
          <a:ext cx="1245870" cy="6229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NZ" sz="1900" kern="1200"/>
            <a:t>Competitive advantage</a:t>
          </a:r>
        </a:p>
      </dsp:txBody>
      <dsp:txXfrm>
        <a:off x="1507789" y="359055"/>
        <a:ext cx="1245870" cy="622935"/>
      </dsp:txXfrm>
    </dsp:sp>
    <dsp:sp modelId="{B3DC1733-8DCA-4857-960D-27873277EB19}">
      <dsp:nvSpPr>
        <dsp:cNvPr id="0" name=""/>
        <dsp:cNvSpPr/>
      </dsp:nvSpPr>
      <dsp:spPr>
        <a:xfrm>
          <a:off x="286" y="1243623"/>
          <a:ext cx="1245870" cy="6229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NZ" sz="1900" kern="1200"/>
            <a:t>Rare</a:t>
          </a:r>
        </a:p>
      </dsp:txBody>
      <dsp:txXfrm>
        <a:off x="286" y="1243623"/>
        <a:ext cx="1245870" cy="622935"/>
      </dsp:txXfrm>
    </dsp:sp>
    <dsp:sp modelId="{7CD4FD82-2D7F-4E2D-B3EC-8E01AFDCD81C}">
      <dsp:nvSpPr>
        <dsp:cNvPr id="0" name=""/>
        <dsp:cNvSpPr/>
      </dsp:nvSpPr>
      <dsp:spPr>
        <a:xfrm>
          <a:off x="1507789" y="1243623"/>
          <a:ext cx="1245870" cy="6229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NZ" sz="1900" kern="1200"/>
            <a:t>Inimitable</a:t>
          </a:r>
        </a:p>
      </dsp:txBody>
      <dsp:txXfrm>
        <a:off x="1507789" y="1243623"/>
        <a:ext cx="1245870" cy="622935"/>
      </dsp:txXfrm>
    </dsp:sp>
    <dsp:sp modelId="{F8712E3E-9CC5-462D-94AC-0BCD3432911F}">
      <dsp:nvSpPr>
        <dsp:cNvPr id="0" name=""/>
        <dsp:cNvSpPr/>
      </dsp:nvSpPr>
      <dsp:spPr>
        <a:xfrm>
          <a:off x="3015292" y="1243623"/>
          <a:ext cx="1245870" cy="6229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NZ" sz="1900" kern="1200"/>
            <a:t>Valuable</a:t>
          </a:r>
        </a:p>
      </dsp:txBody>
      <dsp:txXfrm>
        <a:off x="3015292" y="1243623"/>
        <a:ext cx="1245870" cy="62293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You16</b:Tag>
    <b:SourceType>Report</b:SourceType>
    <b:Guid>{D016BA36-C11D-42AD-8678-F57DBBD14964}</b:Guid>
    <b:Author>
      <b:Author>
        <b:NameList>
          <b:Person>
            <b:Last>You</b:Last>
            <b:First>Chan</b:First>
            <b:Middle>Wei Nian &amp; Fang</b:Middle>
          </b:Person>
        </b:NameList>
      </b:Author>
    </b:Author>
    <b:Title>Steam Reformation of methane into methanol</b:Title>
    <b:Year>2016</b:Year>
    <b:URL>: http://bari.upc.es/eurecha/docs/ESC_2013_winner.pdf</b:URL>
    <b:City>Singapore</b:City>
    <b:Publisher>National University of Singapore</b:Publisher>
    <b:RefOrder>4</b:RefOrder>
  </b:Source>
  <b:Source>
    <b:Tag>BAN16</b:Tag>
    <b:SourceType>InternetSite</b:SourceType>
    <b:Guid>{0DDAA7B3-8C9E-4E61-81B5-463959A19FED}</b:Guid>
    <b:Author>
      <b:Author>
        <b:NameList>
          <b:Person>
            <b:Last>Strategy</b:Last>
            <b:First>BANZ</b:First>
            <b:Middle>Biogas</b:Middle>
          </b:Person>
        </b:NameList>
      </b:Author>
    </b:Author>
    <b:Title>Biogas Strategy for BANZ company</b:Title>
    <b:Year>2016</b:Year>
    <b:Month>October</b:Month>
    <b:Day>4th</b:Day>
    <b:URL>http://www.biogas.org.nz/documents/biogas/BANZ-Biogas-Strategy-110224.pdf </b:URL>
    <b:RefOrder>5</b:RefOrder>
  </b:Source>
  <b:Source>
    <b:Tag>Met16</b:Tag>
    <b:SourceType>InternetSite</b:SourceType>
    <b:Guid>{473E8E5F-3A68-40CB-BD39-E5A59A37B12C}</b:Guid>
    <b:Author>
      <b:Author>
        <b:NameList>
          <b:Person>
            <b:Last>Limited</b:Last>
            <b:First>Methanex</b:First>
            <b:Middle>New Zealand</b:Middle>
          </b:Person>
        </b:NameList>
      </b:Author>
    </b:Author>
    <b:Title>Methanex New Zealand Overview</b:Title>
    <b:Year>2016</b:Year>
    <b:Month>October</b:Month>
    <b:Day>6th</b:Day>
    <b:URL>https://www.methanex.com/location/new-zealand</b:URL>
    <b:RefOrder>1</b:RefOrder>
  </b:Source>
  <b:Source>
    <b:Tag>Dir</b:Tag>
    <b:SourceType>InternetSite</b:SourceType>
    <b:Guid>{852799FF-F7F9-49E3-9953-F7BBC4FC7B18}</b:Guid>
    <b:Author>
      <b:Author>
        <b:NameList>
          <b:Person>
            <b:Last>Pons</b:Last>
            <b:First>Dirk</b:First>
          </b:Person>
        </b:NameList>
      </b:Author>
    </b:Author>
    <b:Title>Three Pillars Model of Sustainability</b:Title>
    <b:InternetSiteTitle>Wikapedia</b:InternetSiteTitle>
    <b:URL>https://commons.wikimedia.org/wiki/File:Three_Pillars_model_of_Sustainability.jpg</b:URL>
    <b:RefOrder>2</b:RefOrder>
  </b:Source>
  <b:Source>
    <b:Tag>BAN161</b:Tag>
    <b:SourceType>InternetSite</b:SourceType>
    <b:Guid>{D243DEDB-AFFE-499B-8DDB-D1E58E104472}</b:Guid>
    <b:Author>
      <b:Author>
        <b:NameList>
          <b:Person>
            <b:Last>BANZ</b:Last>
          </b:Person>
        </b:NameList>
      </b:Author>
    </b:Author>
    <b:Title>Biogas Strategy</b:Title>
    <b:Year>2016</b:Year>
    <b:Month>October</b:Month>
    <b:Day>6th</b:Day>
    <b:URL> http://www.biogas.org.nz/documents/biogas/BANZ-Biogas-Strategy-110224.pdf</b:URL>
    <b:RefOrder>3</b:RefOrder>
  </b:Source>
</b:Sources>
</file>

<file path=customXml/itemProps1.xml><?xml version="1.0" encoding="utf-8"?>
<ds:datastoreItem xmlns:ds="http://schemas.openxmlformats.org/officeDocument/2006/customXml" ds:itemID="{F54D4981-C25A-481B-85E1-EC319A056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10449</Words>
  <Characters>59562</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University of Canterbury</Company>
  <LinksUpToDate>false</LinksUpToDate>
  <CharactersWithSpaces>69872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Legget</dc:creator>
  <cp:keywords/>
  <dc:description/>
  <cp:lastModifiedBy>George Legget</cp:lastModifiedBy>
  <cp:revision>2</cp:revision>
  <dcterms:created xsi:type="dcterms:W3CDTF">2019-04-12T17:44:00Z</dcterms:created>
  <dcterms:modified xsi:type="dcterms:W3CDTF">2019-04-12T17:44:00Z</dcterms:modified>
</cp:coreProperties>
</file>